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09" w:rsidRDefault="007B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МІНІСТЕРСТВО ОХОРОНИ ЗДОРОВ'Я УКРАЇНИ</w:t>
      </w:r>
    </w:p>
    <w:p w:rsidR="00523809" w:rsidRDefault="007B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Донецький національний медичний університет</w:t>
      </w:r>
    </w:p>
    <w:p w:rsidR="00523809" w:rsidRDefault="007B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 Внутрішньої медицини № 3</w:t>
      </w:r>
    </w:p>
    <w:p w:rsidR="00523809" w:rsidRDefault="00523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809" w:rsidRDefault="007B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"ЗАТВЕРДЖУЮ"                                                                                                       </w:t>
      </w:r>
    </w:p>
    <w:p w:rsidR="00523809" w:rsidRDefault="007B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Перший проректор</w:t>
      </w:r>
    </w:p>
    <w:p w:rsidR="00523809" w:rsidRDefault="007B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з науково-педагогічної роботи</w:t>
      </w:r>
    </w:p>
    <w:p w:rsidR="00523809" w:rsidRDefault="007B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проф.______ Олександр  ГЕРАСИМЕНКО          </w:t>
      </w:r>
    </w:p>
    <w:p w:rsidR="00523809" w:rsidRDefault="007B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"___"_______________2021 р.</w:t>
      </w:r>
    </w:p>
    <w:p w:rsidR="00523809" w:rsidRDefault="0052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spacing w:after="0" w:line="240" w:lineRule="auto"/>
        <w:ind w:firstLine="69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РОБОЧА ПРОГРАМА </w:t>
      </w:r>
    </w:p>
    <w:p w:rsidR="00523809" w:rsidRDefault="005238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809" w:rsidRDefault="007B6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Семінару</w:t>
      </w:r>
    </w:p>
    <w:p w:rsidR="00523809" w:rsidRDefault="007B6F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«Артеріальна гіпертензія. </w:t>
      </w:r>
    </w:p>
    <w:p w:rsidR="00523809" w:rsidRDefault="007B6F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Важливі аспекти диференціальної діагностики та лікування»</w:t>
      </w:r>
    </w:p>
    <w:p w:rsidR="00523809" w:rsidRDefault="007B6F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(для лікарів- терапевтів, лікарів- ЗПСМ, лікарів-кардіологів, лікарів-функціональної діагностики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23809" w:rsidRDefault="00523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809" w:rsidRDefault="007B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спеціальністі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222 «МЕДИЦИНА» </w:t>
      </w:r>
    </w:p>
    <w:p w:rsidR="00523809" w:rsidRDefault="007B6FCD">
      <w:pPr>
        <w:widowControl w:val="0"/>
        <w:tabs>
          <w:tab w:val="left" w:pos="3298"/>
          <w:tab w:val="left" w:pos="3661"/>
          <w:tab w:val="left" w:pos="431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освітнього рівня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післядипломна освіта</w:t>
      </w:r>
    </w:p>
    <w:p w:rsidR="00523809" w:rsidRDefault="007B6F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статус                           вибіркова</w:t>
      </w: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Лиман 2021</w:t>
      </w:r>
    </w:p>
    <w:p w:rsidR="00523809" w:rsidRDefault="007B6FCD">
      <w:pPr>
        <w:keepNext/>
        <w:shd w:val="clear" w:color="auto" w:fill="FFFFFF"/>
        <w:tabs>
          <w:tab w:val="left" w:pos="0"/>
        </w:tabs>
        <w:spacing w:before="24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Розробники:</w:t>
      </w:r>
    </w:p>
    <w:p w:rsidR="00523809" w:rsidRDefault="007B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Пархоменко Т.А.,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к.мед.н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доцент кафедри внутрішньої медицини № 3</w:t>
      </w:r>
    </w:p>
    <w:p w:rsidR="00523809" w:rsidRDefault="007B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Кузеванова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к.мед.н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доцент кафедри внутрішньої медицини № 3</w:t>
      </w:r>
    </w:p>
    <w:p w:rsidR="00523809" w:rsidRDefault="007B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Севастьянова Н.Є асистент кафедри внутрішньої медицини № 3</w:t>
      </w: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Викладачі:</w:t>
      </w:r>
    </w:p>
    <w:p w:rsidR="00523809" w:rsidRDefault="007B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Пархоменко Т.А.,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к.мед.н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доцент кафедри внутрішньої медицини № 3</w:t>
      </w:r>
    </w:p>
    <w:p w:rsidR="00523809" w:rsidRDefault="007B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Кузеванова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к.мед.н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доцент кафедри внутрішньої медицини № 3</w:t>
      </w:r>
    </w:p>
    <w:p w:rsidR="00523809" w:rsidRDefault="007B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Севастьянова Н.Є асистент кафедри внутрішньої медицини № 3</w:t>
      </w:r>
    </w:p>
    <w:p w:rsidR="00523809" w:rsidRDefault="007B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 асистент кафедри внутрішньої медицини № 3</w:t>
      </w: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523809">
      <w:pPr>
        <w:widowControl w:val="0"/>
        <w:tabs>
          <w:tab w:val="left" w:pos="1880"/>
          <w:tab w:val="left" w:pos="4592"/>
          <w:tab w:val="left" w:pos="65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Робочу програму розглянуто і затверджено на засіданні </w:t>
      </w:r>
      <w:r>
        <w:rPr>
          <w:rFonts w:ascii="Times New Roman" w:eastAsia="Times New Roman" w:hAnsi="Times New Roman" w:cs="Times New Roman"/>
          <w:sz w:val="24"/>
          <w:szCs w:val="24"/>
        </w:rPr>
        <w:t>кафедри внутрішньої медицини № 3</w:t>
      </w:r>
    </w:p>
    <w:p w:rsidR="00523809" w:rsidRDefault="0051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7B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FCD" w:rsidRPr="00513138">
        <w:rPr>
          <w:rFonts w:ascii="Times New Roman" w:eastAsia="Times New Roman" w:hAnsi="Times New Roman" w:cs="Times New Roman"/>
          <w:sz w:val="24"/>
          <w:szCs w:val="24"/>
        </w:rPr>
        <w:t xml:space="preserve">від  </w:t>
      </w:r>
      <w:r w:rsidRPr="005131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7B6FCD" w:rsidRPr="00513138">
        <w:rPr>
          <w:rFonts w:ascii="Times New Roman" w:eastAsia="Times New Roman" w:hAnsi="Times New Roman" w:cs="Times New Roman"/>
          <w:sz w:val="24"/>
          <w:szCs w:val="24"/>
        </w:rPr>
        <w:t>2021 року</w:t>
      </w:r>
    </w:p>
    <w:tbl>
      <w:tblPr>
        <w:tblStyle w:val="a5"/>
        <w:tblW w:w="114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04"/>
        <w:gridCol w:w="250"/>
        <w:gridCol w:w="811"/>
        <w:gridCol w:w="523"/>
      </w:tblGrid>
      <w:tr w:rsidR="00523809">
        <w:trPr>
          <w:trHeight w:val="373"/>
        </w:trPr>
        <w:tc>
          <w:tcPr>
            <w:tcW w:w="9930" w:type="dxa"/>
            <w:shd w:val="clear" w:color="auto" w:fill="auto"/>
          </w:tcPr>
          <w:p w:rsidR="00523809" w:rsidRDefault="00523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924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081"/>
              <w:gridCol w:w="3082"/>
              <w:gridCol w:w="3082"/>
            </w:tblGrid>
            <w:tr w:rsidR="00523809">
              <w:trPr>
                <w:trHeight w:val="373"/>
              </w:trPr>
              <w:tc>
                <w:tcPr>
                  <w:tcW w:w="3081" w:type="dxa"/>
                  <w:shd w:val="clear" w:color="auto" w:fill="auto"/>
                </w:tcPr>
                <w:p w:rsidR="00523809" w:rsidRDefault="007B6FCD">
                  <w:pPr>
                    <w:widowControl w:val="0"/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Завідувачка кафедри,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к.мед.н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:rsidR="00523809" w:rsidRDefault="005238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23809" w:rsidRDefault="007B6F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 (підпис)</w:t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:rsidR="00523809" w:rsidRDefault="007B6FC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Т.А Пархоменко</w:t>
                  </w:r>
                </w:p>
              </w:tc>
            </w:tr>
          </w:tbl>
          <w:p w:rsidR="00523809" w:rsidRDefault="00523809">
            <w:pPr>
              <w:widowControl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23809" w:rsidRDefault="00523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523809" w:rsidRDefault="005238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809" w:rsidRDefault="007B6FC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Синяченко</w:t>
            </w:r>
            <w:proofErr w:type="spellEnd"/>
          </w:p>
        </w:tc>
      </w:tr>
      <w:tr w:rsidR="00523809">
        <w:tc>
          <w:tcPr>
            <w:tcW w:w="9930" w:type="dxa"/>
            <w:shd w:val="clear" w:color="auto" w:fill="auto"/>
          </w:tcPr>
          <w:p w:rsidR="00523809" w:rsidRDefault="007B6FCD">
            <w:pPr>
              <w:widowControl w:val="0"/>
              <w:tabs>
                <w:tab w:val="left" w:pos="4891"/>
                <w:tab w:val="left" w:pos="5519"/>
                <w:tab w:val="left" w:pos="6039"/>
                <w:tab w:val="left" w:pos="6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Робочу програму розглянуто і затверджено на засіданні методичної комісії з терапевтичних дисциплін   « 5»  листопада 2021 р. Протокол № 2</w:t>
            </w:r>
          </w:p>
          <w:p w:rsidR="00523809" w:rsidRDefault="00523809">
            <w:pPr>
              <w:widowControl w:val="0"/>
              <w:tabs>
                <w:tab w:val="left" w:pos="4891"/>
                <w:tab w:val="left" w:pos="5519"/>
                <w:tab w:val="left" w:pos="6039"/>
                <w:tab w:val="left" w:pos="6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809" w:rsidRDefault="007B6FCD">
            <w:pPr>
              <w:widowControl w:val="0"/>
              <w:tabs>
                <w:tab w:val="left" w:pos="4891"/>
                <w:tab w:val="left" w:pos="5519"/>
                <w:tab w:val="left" w:pos="6039"/>
                <w:tab w:val="left" w:pos="6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Голова комісії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д.мед.н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проф.    _________________                                         Г.С.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3809" w:rsidRDefault="007B6FCD">
            <w:pPr>
              <w:widowControl w:val="0"/>
              <w:tabs>
                <w:tab w:val="left" w:pos="4891"/>
                <w:tab w:val="left" w:pos="5519"/>
                <w:tab w:val="left" w:pos="6039"/>
                <w:tab w:val="left" w:pos="6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(підпис)       </w:t>
            </w:r>
          </w:p>
          <w:p w:rsidR="00523809" w:rsidRDefault="00523809">
            <w:pPr>
              <w:widowControl w:val="0"/>
              <w:tabs>
                <w:tab w:val="left" w:pos="4891"/>
                <w:tab w:val="left" w:pos="5519"/>
                <w:tab w:val="left" w:pos="6039"/>
                <w:tab w:val="left" w:pos="6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809" w:rsidRDefault="007B6FCD">
            <w:pPr>
              <w:widowControl w:val="0"/>
              <w:tabs>
                <w:tab w:val="left" w:pos="4891"/>
                <w:tab w:val="left" w:pos="5519"/>
                <w:tab w:val="left" w:pos="6039"/>
                <w:tab w:val="left" w:pos="6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Робочу програму погоджено з гарантом освітньо-професійної програми «____»_______________2021 р.</w:t>
            </w:r>
          </w:p>
          <w:p w:rsidR="00523809" w:rsidRDefault="00523809">
            <w:pPr>
              <w:widowControl w:val="0"/>
              <w:tabs>
                <w:tab w:val="left" w:pos="4891"/>
                <w:tab w:val="left" w:pos="5519"/>
                <w:tab w:val="left" w:pos="6039"/>
                <w:tab w:val="left" w:pos="6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973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1"/>
              <w:gridCol w:w="2929"/>
              <w:gridCol w:w="106"/>
              <w:gridCol w:w="3529"/>
              <w:gridCol w:w="106"/>
              <w:gridCol w:w="2687"/>
              <w:gridCol w:w="122"/>
            </w:tblGrid>
            <w:tr w:rsidR="00523809">
              <w:tc>
                <w:tcPr>
                  <w:tcW w:w="108" w:type="dxa"/>
                </w:tcPr>
                <w:p w:rsidR="00523809" w:rsidRDefault="005238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1" w:type="dxa"/>
                  <w:gridSpan w:val="2"/>
                  <w:shd w:val="clear" w:color="auto" w:fill="auto"/>
                  <w:vAlign w:val="bottom"/>
                </w:tcPr>
                <w:p w:rsidR="00523809" w:rsidRDefault="007B6FC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Гарант освітньої програми</w:t>
                  </w:r>
                </w:p>
                <w:p w:rsidR="00523809" w:rsidRDefault="007B6FC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д.мед.н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проф.</w:t>
                  </w:r>
                </w:p>
              </w:tc>
              <w:tc>
                <w:tcPr>
                  <w:tcW w:w="3690" w:type="dxa"/>
                  <w:gridSpan w:val="2"/>
                  <w:shd w:val="clear" w:color="auto" w:fill="auto"/>
                  <w:vAlign w:val="bottom"/>
                </w:tcPr>
                <w:p w:rsidR="00523809" w:rsidRDefault="007B6F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2851" w:type="dxa"/>
                  <w:gridSpan w:val="2"/>
                  <w:shd w:val="clear" w:color="auto" w:fill="auto"/>
                  <w:vAlign w:val="bottom"/>
                </w:tcPr>
                <w:p w:rsidR="00523809" w:rsidRDefault="007B6FCD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О.І. Герасименко</w:t>
                  </w:r>
                </w:p>
              </w:tc>
            </w:tr>
            <w:tr w:rsidR="00523809">
              <w:tc>
                <w:tcPr>
                  <w:tcW w:w="108" w:type="dxa"/>
                </w:tcPr>
                <w:p w:rsidR="00523809" w:rsidRDefault="005238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1" w:type="dxa"/>
                  <w:gridSpan w:val="2"/>
                  <w:shd w:val="clear" w:color="auto" w:fill="auto"/>
                  <w:vAlign w:val="bottom"/>
                </w:tcPr>
                <w:p w:rsidR="00523809" w:rsidRDefault="0052380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0" w:type="dxa"/>
                  <w:gridSpan w:val="2"/>
                  <w:shd w:val="clear" w:color="auto" w:fill="auto"/>
                  <w:vAlign w:val="bottom"/>
                </w:tcPr>
                <w:p w:rsidR="00523809" w:rsidRDefault="005238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1" w:type="dxa"/>
                  <w:gridSpan w:val="2"/>
                  <w:shd w:val="clear" w:color="auto" w:fill="auto"/>
                  <w:vAlign w:val="bottom"/>
                </w:tcPr>
                <w:p w:rsidR="00523809" w:rsidRDefault="0052380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3809">
              <w:tc>
                <w:tcPr>
                  <w:tcW w:w="108" w:type="dxa"/>
                </w:tcPr>
                <w:p w:rsidR="00523809" w:rsidRDefault="0052380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1" w:type="dxa"/>
                  <w:gridSpan w:val="2"/>
                  <w:shd w:val="clear" w:color="auto" w:fill="auto"/>
                  <w:vAlign w:val="bottom"/>
                </w:tcPr>
                <w:p w:rsidR="00523809" w:rsidRDefault="0052380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90" w:type="dxa"/>
                  <w:gridSpan w:val="2"/>
                  <w:shd w:val="clear" w:color="auto" w:fill="auto"/>
                  <w:vAlign w:val="bottom"/>
                </w:tcPr>
                <w:p w:rsidR="00523809" w:rsidRDefault="007B6F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(підпис)</w:t>
                  </w:r>
                </w:p>
              </w:tc>
              <w:tc>
                <w:tcPr>
                  <w:tcW w:w="2851" w:type="dxa"/>
                  <w:gridSpan w:val="2"/>
                  <w:shd w:val="clear" w:color="auto" w:fill="auto"/>
                  <w:vAlign w:val="bottom"/>
                </w:tcPr>
                <w:p w:rsidR="00523809" w:rsidRDefault="005238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3809">
              <w:trPr>
                <w:gridAfter w:val="1"/>
                <w:wAfter w:w="124" w:type="dxa"/>
              </w:trPr>
              <w:tc>
                <w:tcPr>
                  <w:tcW w:w="3081" w:type="dxa"/>
                  <w:gridSpan w:val="2"/>
                </w:tcPr>
                <w:p w:rsidR="00523809" w:rsidRDefault="007B6FC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Декан ФІПО,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к.мед.н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., доцент</w:t>
                  </w:r>
                </w:p>
              </w:tc>
              <w:tc>
                <w:tcPr>
                  <w:tcW w:w="3690" w:type="dxa"/>
                  <w:gridSpan w:val="2"/>
                </w:tcPr>
                <w:p w:rsidR="00523809" w:rsidRDefault="007B6F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___________________                                 </w:t>
                  </w:r>
                </w:p>
              </w:tc>
              <w:tc>
                <w:tcPr>
                  <w:tcW w:w="2835" w:type="dxa"/>
                  <w:gridSpan w:val="2"/>
                </w:tcPr>
                <w:p w:rsidR="00523809" w:rsidRDefault="007B6FC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Ірина БАЛИЧЕВЦЕВА</w:t>
                  </w:r>
                </w:p>
              </w:tc>
            </w:tr>
            <w:tr w:rsidR="00523809">
              <w:trPr>
                <w:gridAfter w:val="1"/>
                <w:wAfter w:w="124" w:type="dxa"/>
              </w:trPr>
              <w:tc>
                <w:tcPr>
                  <w:tcW w:w="3081" w:type="dxa"/>
                  <w:gridSpan w:val="2"/>
                </w:tcPr>
                <w:p w:rsidR="00523809" w:rsidRDefault="00523809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90" w:type="dxa"/>
                  <w:gridSpan w:val="2"/>
                </w:tcPr>
                <w:p w:rsidR="00523809" w:rsidRDefault="007B6F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(підпис)</w:t>
                  </w:r>
                </w:p>
              </w:tc>
              <w:tc>
                <w:tcPr>
                  <w:tcW w:w="2835" w:type="dxa"/>
                  <w:gridSpan w:val="2"/>
                </w:tcPr>
                <w:p w:rsidR="00523809" w:rsidRDefault="0052380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3809" w:rsidRDefault="00523809">
            <w:pPr>
              <w:widowControl w:val="0"/>
              <w:tabs>
                <w:tab w:val="left" w:pos="4891"/>
                <w:tab w:val="left" w:pos="5519"/>
                <w:tab w:val="left" w:pos="6039"/>
                <w:tab w:val="left" w:pos="68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Робочу програму перевірено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___»______________2021 р.</w:t>
            </w:r>
          </w:p>
          <w:p w:rsidR="00523809" w:rsidRDefault="00523809">
            <w:pPr>
              <w:widowControl w:val="0"/>
              <w:tabs>
                <w:tab w:val="left" w:pos="48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Пролонговано:</w:t>
            </w:r>
          </w:p>
          <w:p w:rsidR="00523809" w:rsidRDefault="00523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________ (_______________), «__»_________20 __ р., протокол №__</w:t>
            </w:r>
          </w:p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(підпис)                       (ПІБ)</w:t>
            </w:r>
          </w:p>
          <w:p w:rsidR="00523809" w:rsidRDefault="00523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________ (_______________), «__» _________ 20 __ р., протокол №__</w:t>
            </w:r>
          </w:p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(підпис)                       (ПІБ)</w:t>
            </w:r>
          </w:p>
          <w:p w:rsidR="00523809" w:rsidRDefault="005238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________ (_______________), «__» _________ 20 __ р., протокол №__</w:t>
            </w:r>
          </w:p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(підпис)                       (ПІБ)</w:t>
            </w:r>
          </w:p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20__/20__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________ (_______________), «__» _________ 20 __ р., протокол №__</w:t>
            </w:r>
          </w:p>
        </w:tc>
        <w:tc>
          <w:tcPr>
            <w:tcW w:w="222" w:type="dxa"/>
          </w:tcPr>
          <w:p w:rsidR="00523809" w:rsidRDefault="00523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523809" w:rsidRDefault="00523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523809" w:rsidRDefault="0052380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3809" w:rsidRDefault="007B6F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1.Опис програми семінару дистанційного навчання з використанням електронних навчальних ресурсів </w:t>
      </w:r>
    </w:p>
    <w:p w:rsidR="00523809" w:rsidRDefault="005238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809" w:rsidRDefault="007B6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Згідно з Європейською єдиною програмою неперервної  освіти була затверджена Постанова Кабінету Міністрів України від 28 березня 2018 р. №302 «Про затвердження Положення  про систему безперервного професійного розвитку фахівців у сфері охорони здоров`я» та Наказ МОЗ України від 22.02.2019 р. №446 «Деякі питання безперервного професійного розвитку лікарів», у контексті яких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освіта виступає першорядним фактором особистісного та професійного розвитку лікаря. На підставі цих документів було розроблено програму семінару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якому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слухачі мають змогу поглибити та вдосконалити с</w:t>
      </w:r>
      <w:r w:rsidR="00513138">
        <w:rPr>
          <w:rFonts w:ascii="Times New Roman" w:eastAsia="Times New Roman" w:hAnsi="Times New Roman" w:cs="Times New Roman"/>
          <w:sz w:val="24"/>
          <w:szCs w:val="24"/>
        </w:rPr>
        <w:t xml:space="preserve">вої теоретичні знання з розділу </w:t>
      </w:r>
      <w:r w:rsidRPr="0051313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3138" w:rsidRPr="00513138">
        <w:rPr>
          <w:rFonts w:ascii="Times New Roman" w:eastAsia="Times New Roman" w:hAnsi="Times New Roman" w:cs="Times New Roman"/>
          <w:sz w:val="24"/>
          <w:szCs w:val="24"/>
        </w:rPr>
        <w:t>Артеріальна гіпертензія. Важливі аспекти диференціальної діагностики та лікування»</w:t>
      </w:r>
      <w:r w:rsidRPr="0051313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23809" w:rsidRDefault="0052380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3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746"/>
        <w:gridCol w:w="4893"/>
      </w:tblGrid>
      <w:tr w:rsidR="00523809">
        <w:trPr>
          <w:trHeight w:val="394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809" w:rsidRDefault="007B6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 показників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23809" w:rsidRDefault="007B6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Характеристика дисципліни за формами навчання</w:t>
            </w:r>
          </w:p>
        </w:tc>
      </w:tr>
      <w:tr w:rsidR="00523809">
        <w:trPr>
          <w:trHeight w:val="192"/>
        </w:trPr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23809" w:rsidRDefault="00523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23809" w:rsidRDefault="007B6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523809">
        <w:trPr>
          <w:trHeight w:val="50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809" w:rsidRDefault="007B6FCD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«Артеріальна гіпертензія. Важливі аспекти диференціальної діагностики та лікування»</w:t>
            </w:r>
          </w:p>
        </w:tc>
      </w:tr>
      <w:tr w:rsidR="00523809">
        <w:trPr>
          <w:trHeight w:val="197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Статус дисципліни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809" w:rsidRDefault="007B6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вибіркова</w:t>
            </w:r>
          </w:p>
        </w:tc>
      </w:tr>
      <w:tr w:rsidR="00523809">
        <w:trPr>
          <w:trHeight w:val="19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Мова викладання, навчання та оцінювання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809" w:rsidRDefault="007B6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23809">
        <w:trPr>
          <w:trHeight w:val="19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Загальний обсяг годин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809" w:rsidRDefault="007B6F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3809">
        <w:trPr>
          <w:trHeight w:val="202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3809" w:rsidRDefault="007B6FCD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Аудиторні/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позааудиторні</w:t>
            </w:r>
            <w:proofErr w:type="spellEnd"/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809" w:rsidRDefault="007B6F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12</w:t>
            </w:r>
          </w:p>
        </w:tc>
      </w:tr>
    </w:tbl>
    <w:p w:rsidR="00523809" w:rsidRDefault="00523809">
      <w:pPr>
        <w:spacing w:after="0" w:line="240" w:lineRule="auto"/>
        <w:ind w:left="6720" w:hanging="6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tabs>
          <w:tab w:val="left" w:pos="851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Мета та завдання семінару </w:t>
      </w:r>
    </w:p>
    <w:p w:rsidR="00523809" w:rsidRDefault="0052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tabs>
          <w:tab w:val="left" w:pos="720"/>
          <w:tab w:val="left" w:pos="261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навчання лікарів-слухачів сучасним методам дослідження, які широко застосовуються з метою раннього виявлення артеріальної  гіпертензії. Ознайомити з  класифікацією АГ по типу ураження органів-мішеней, сучасними методи лікування і діагностики, ЕХО-КГ критеріями гіпертрофії ЛШ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ремодулювання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лівого шлуночка. Навчання методам  диференційної діагностики первинної та вторинної АГ:  офтальмоскопія очного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УЗД нирок, ниркових артерій,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інтерпритація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лабораторних показників крові при АГ,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сонографія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сосудів головного мозку, КТ,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радіоізотопна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ренографія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аортографія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магнітно-резонансна ангіографія, рентгенографія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наднирников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добовий моніторинг артеріального тиску.</w:t>
      </w:r>
    </w:p>
    <w:p w:rsidR="00523809" w:rsidRDefault="007B6FC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Освітня підготовка слухачів семінару  ґрунтується на використанні семінарських занять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позааудиторних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занять</w:t>
      </w:r>
    </w:p>
    <w:p w:rsidR="00523809" w:rsidRDefault="007B6FCD">
      <w:pPr>
        <w:tabs>
          <w:tab w:val="left" w:pos="567"/>
          <w:tab w:val="left" w:pos="851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Завданнями вивчення дисципліни є досягнення в повній або частковій    мірі наступних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3809" w:rsidRDefault="007B6FCD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Здатність розв’язувати складні задачі і проблеми в галузі охорони здоров'я за спеціальністю «Терапія» у професійній діяльності. </w:t>
      </w:r>
    </w:p>
    <w:p w:rsidR="00523809" w:rsidRDefault="007B6FCD">
      <w:pPr>
        <w:tabs>
          <w:tab w:val="left" w:pos="851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Загальні компетентності:</w:t>
      </w:r>
    </w:p>
    <w:p w:rsidR="00523809" w:rsidRDefault="007B6FCD">
      <w:pPr>
        <w:widowControl w:val="0"/>
        <w:numPr>
          <w:ilvl w:val="0"/>
          <w:numId w:val="1"/>
        </w:numPr>
        <w:tabs>
          <w:tab w:val="left" w:pos="851"/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Здатність до абстрактного мислення, аналізу та синтезу; здатність вчитися і бути сучасно навченим.</w:t>
      </w:r>
    </w:p>
    <w:p w:rsidR="00523809" w:rsidRDefault="007B6FCD">
      <w:pPr>
        <w:widowControl w:val="0"/>
        <w:numPr>
          <w:ilvl w:val="0"/>
          <w:numId w:val="1"/>
        </w:numPr>
        <w:tabs>
          <w:tab w:val="left" w:pos="851"/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Здатність до підвищення професійної кваліфікації.</w:t>
      </w:r>
    </w:p>
    <w:p w:rsidR="00523809" w:rsidRDefault="007B6FCD">
      <w:pPr>
        <w:widowControl w:val="0"/>
        <w:numPr>
          <w:ilvl w:val="0"/>
          <w:numId w:val="1"/>
        </w:numPr>
        <w:tabs>
          <w:tab w:val="left" w:pos="851"/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Знання та розуміння предметної області та розуміння професії.</w:t>
      </w:r>
    </w:p>
    <w:p w:rsidR="00523809" w:rsidRDefault="007B6FCD">
      <w:pPr>
        <w:widowControl w:val="0"/>
        <w:numPr>
          <w:ilvl w:val="0"/>
          <w:numId w:val="1"/>
        </w:numPr>
        <w:tabs>
          <w:tab w:val="left" w:pos="851"/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Здатність застосовувати знання у практичних ситуаціях.</w:t>
      </w:r>
    </w:p>
    <w:p w:rsidR="00523809" w:rsidRDefault="007B6FCD">
      <w:pPr>
        <w:widowControl w:val="0"/>
        <w:numPr>
          <w:ilvl w:val="0"/>
          <w:numId w:val="1"/>
        </w:numPr>
        <w:tabs>
          <w:tab w:val="left" w:pos="851"/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Здатність до використання інформаційних і комунікаційних технологій; пошуку, опрацювання та аналізу інформації з різних джерел.</w:t>
      </w:r>
    </w:p>
    <w:p w:rsidR="00523809" w:rsidRDefault="007B6FCD">
      <w:pPr>
        <w:widowControl w:val="0"/>
        <w:numPr>
          <w:ilvl w:val="0"/>
          <w:numId w:val="1"/>
        </w:numPr>
        <w:tabs>
          <w:tab w:val="left" w:pos="851"/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Здатність виявляти, ставити та вирішувати проблеми, генерувати ідеї.</w:t>
      </w:r>
    </w:p>
    <w:p w:rsidR="00523809" w:rsidRDefault="007B6FCD">
      <w:pPr>
        <w:widowControl w:val="0"/>
        <w:numPr>
          <w:ilvl w:val="0"/>
          <w:numId w:val="1"/>
        </w:numPr>
        <w:tabs>
          <w:tab w:val="left" w:pos="851"/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Здатність до спілкування у професійному середовищі та з представниками інших професій.</w:t>
      </w:r>
    </w:p>
    <w:p w:rsidR="00523809" w:rsidRDefault="007B6FCD">
      <w:pPr>
        <w:widowControl w:val="0"/>
        <w:numPr>
          <w:ilvl w:val="0"/>
          <w:numId w:val="1"/>
        </w:numPr>
        <w:tabs>
          <w:tab w:val="left" w:pos="851"/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Здатність оцінювати та забезпечувати якість виконаних робіт. </w:t>
      </w:r>
    </w:p>
    <w:p w:rsidR="00523809" w:rsidRDefault="007B6FCD">
      <w:pPr>
        <w:widowControl w:val="0"/>
        <w:numPr>
          <w:ilvl w:val="0"/>
          <w:numId w:val="1"/>
        </w:numPr>
        <w:tabs>
          <w:tab w:val="left" w:pos="851"/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Здатність до адаптації та дії в новій ситуації.</w:t>
      </w:r>
    </w:p>
    <w:p w:rsidR="00523809" w:rsidRDefault="007B6FCD">
      <w:pPr>
        <w:widowControl w:val="0"/>
        <w:numPr>
          <w:ilvl w:val="0"/>
          <w:numId w:val="1"/>
        </w:numPr>
        <w:tabs>
          <w:tab w:val="left" w:pos="851"/>
          <w:tab w:val="left" w:pos="2977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Здатність працювати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автономно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809" w:rsidRDefault="00523809">
      <w:pPr>
        <w:widowControl w:val="0"/>
        <w:tabs>
          <w:tab w:val="left" w:pos="851"/>
          <w:tab w:val="left" w:pos="297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widowControl w:val="0"/>
        <w:tabs>
          <w:tab w:val="left" w:pos="851"/>
          <w:tab w:val="left" w:pos="297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Спеціальні компетентності: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3809" w:rsidRDefault="007B6FCD">
      <w:pPr>
        <w:widowControl w:val="0"/>
        <w:tabs>
          <w:tab w:val="left" w:pos="851"/>
          <w:tab w:val="left" w:pos="297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3809" w:rsidRDefault="007B6FC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інтерпретувати епідеміологічні та патогенетичні закономірності артеріальної гіпертензії;</w:t>
      </w:r>
    </w:p>
    <w:p w:rsidR="00523809" w:rsidRDefault="007B6FC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інтерпретувати електрокардіограми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ЕхоКГ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артеріальної гіпертензії</w:t>
      </w:r>
    </w:p>
    <w:p w:rsidR="00523809" w:rsidRDefault="007B6FC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удосконалювати діагностику різних видів артеріальної гіпертензії кардіологічних захворювань за допомогою проведення та оцінки результатів додаткових функціональних проб;</w:t>
      </w:r>
    </w:p>
    <w:p w:rsidR="00523809" w:rsidRDefault="007B6FCD">
      <w:pPr>
        <w:numPr>
          <w:ilvl w:val="0"/>
          <w:numId w:val="3"/>
        </w:numPr>
        <w:tabs>
          <w:tab w:val="left" w:pos="284"/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планувати подальші заходи дослідження та проводити  диференційну діагностику первинної та вторинної АГ</w:t>
      </w:r>
    </w:p>
    <w:p w:rsidR="00523809" w:rsidRDefault="007B6FCD">
      <w:pPr>
        <w:numPr>
          <w:ilvl w:val="0"/>
          <w:numId w:val="3"/>
        </w:numPr>
        <w:tabs>
          <w:tab w:val="left" w:pos="284"/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знати сучасні методи лікування артеріальної гіпертензії (протоколи МОЗ)</w:t>
      </w:r>
    </w:p>
    <w:p w:rsidR="00523809" w:rsidRDefault="007B6FCD">
      <w:pPr>
        <w:numPr>
          <w:ilvl w:val="0"/>
          <w:numId w:val="3"/>
        </w:numPr>
        <w:tabs>
          <w:tab w:val="left" w:pos="284"/>
          <w:tab w:val="left" w:pos="72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оцінювати моніторинг артеріального тиску.</w:t>
      </w:r>
    </w:p>
    <w:p w:rsidR="00523809" w:rsidRDefault="00523809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809" w:rsidRDefault="007B6FC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Результати семінару </w:t>
      </w:r>
    </w:p>
    <w:p w:rsidR="00523809" w:rsidRDefault="00523809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809" w:rsidRDefault="007B6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Слухач повинен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вдосконалити:</w:t>
      </w:r>
    </w:p>
    <w:p w:rsidR="00523809" w:rsidRDefault="005238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Сучасні підходи до діагностиці та лікування  АГ</w:t>
      </w:r>
    </w:p>
    <w:p w:rsidR="00523809" w:rsidRDefault="007B6F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Уміння використовувати отримані теоретичні знання у своїй практичній діяльності</w:t>
      </w:r>
    </w:p>
    <w:p w:rsidR="00523809" w:rsidRDefault="0052380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809" w:rsidRDefault="007B6FC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Наприкінці семінару проводиться усна співбесіда зі слухачем на визначення досягнення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бінарною системою склав /не склав.</w:t>
      </w:r>
    </w:p>
    <w:p w:rsidR="00523809" w:rsidRDefault="007B6F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Структура семінару  </w:t>
      </w:r>
    </w:p>
    <w:p w:rsidR="00523809" w:rsidRDefault="007B6FCD">
      <w:pPr>
        <w:widowControl w:val="0"/>
        <w:tabs>
          <w:tab w:val="left" w:pos="4891"/>
          <w:tab w:val="left" w:pos="5519"/>
          <w:tab w:val="left" w:pos="6039"/>
          <w:tab w:val="left" w:pos="684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Тематичний план </w:t>
      </w:r>
    </w:p>
    <w:tbl>
      <w:tblPr>
        <w:tblStyle w:val="a9"/>
        <w:tblW w:w="91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15"/>
        <w:gridCol w:w="1418"/>
      </w:tblGrid>
      <w:tr w:rsidR="00523809">
        <w:trPr>
          <w:trHeight w:val="375"/>
        </w:trPr>
        <w:tc>
          <w:tcPr>
            <w:tcW w:w="7715" w:type="dxa"/>
            <w:vMerge w:val="restart"/>
          </w:tcPr>
          <w:p w:rsidR="00523809" w:rsidRDefault="007B6F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тем</w:t>
            </w:r>
          </w:p>
        </w:tc>
        <w:tc>
          <w:tcPr>
            <w:tcW w:w="1418" w:type="dxa"/>
          </w:tcPr>
          <w:p w:rsidR="00523809" w:rsidRDefault="007B6F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523809">
        <w:trPr>
          <w:trHeight w:val="375"/>
        </w:trPr>
        <w:tc>
          <w:tcPr>
            <w:tcW w:w="7715" w:type="dxa"/>
            <w:vMerge/>
          </w:tcPr>
          <w:p w:rsidR="00523809" w:rsidRDefault="005238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809" w:rsidRDefault="007B6F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аудиторні</w:t>
            </w:r>
          </w:p>
        </w:tc>
      </w:tr>
      <w:tr w:rsidR="00523809">
        <w:tc>
          <w:tcPr>
            <w:tcW w:w="7715" w:type="dxa"/>
          </w:tcPr>
          <w:p w:rsidR="00523809" w:rsidRPr="00651BF9" w:rsidRDefault="00954B28" w:rsidP="0051313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Синдром  АГ: класифікація, діагностика, </w:t>
            </w:r>
            <w:proofErr w:type="spellStart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>могіторинг</w:t>
            </w:r>
            <w:proofErr w:type="spellEnd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 за </w:t>
            </w:r>
            <w:proofErr w:type="spellStart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данними</w:t>
            </w:r>
            <w:proofErr w:type="spellEnd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Європейского</w:t>
            </w:r>
            <w:proofErr w:type="spellEnd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консенсусу 2018 р. та Глобальних практичних рекомендацій  з гіпертензії Міжнародного товариства з гіпертензії 2020р. </w:t>
            </w:r>
          </w:p>
        </w:tc>
        <w:tc>
          <w:tcPr>
            <w:tcW w:w="1418" w:type="dxa"/>
          </w:tcPr>
          <w:p w:rsidR="00523809" w:rsidRPr="00651BF9" w:rsidRDefault="00954B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138">
        <w:tc>
          <w:tcPr>
            <w:tcW w:w="7715" w:type="dxa"/>
          </w:tcPr>
          <w:p w:rsidR="00513138" w:rsidRPr="00651BF9" w:rsidRDefault="00513138" w:rsidP="00954B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Поняття </w:t>
            </w:r>
            <w:proofErr w:type="spellStart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>резістентної</w:t>
            </w:r>
            <w:proofErr w:type="spellEnd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гіпертензії. Диференціальна діагностика вторинних </w:t>
            </w:r>
            <w:proofErr w:type="spellStart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>гіпертензій</w:t>
            </w:r>
            <w:proofErr w:type="spellEnd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 пацієнтів з резистентною АГ.</w:t>
            </w:r>
          </w:p>
        </w:tc>
        <w:tc>
          <w:tcPr>
            <w:tcW w:w="1418" w:type="dxa"/>
          </w:tcPr>
          <w:p w:rsidR="00513138" w:rsidRPr="00651BF9" w:rsidRDefault="00C60DB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81270">
        <w:tc>
          <w:tcPr>
            <w:tcW w:w="7715" w:type="dxa"/>
          </w:tcPr>
          <w:p w:rsidR="00881270" w:rsidRPr="00651BF9" w:rsidRDefault="00954B28" w:rsidP="0051313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Лікування синдрому </w:t>
            </w:r>
            <w:proofErr w:type="spellStart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артеріальной</w:t>
            </w:r>
            <w:proofErr w:type="spellEnd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гіпертензії: загальні принципи. Цільові терапевтичні рівні АГ у різних груп </w:t>
            </w:r>
            <w:proofErr w:type="spellStart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>пацієнтов</w:t>
            </w:r>
            <w:proofErr w:type="spellEnd"/>
            <w:r w:rsidRPr="0065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Нові підходи в медикаментозній та немедикаментозній терапії АГ. Особливості лікування гіпертензії у вагітних </w:t>
            </w:r>
          </w:p>
        </w:tc>
        <w:tc>
          <w:tcPr>
            <w:tcW w:w="1418" w:type="dxa"/>
          </w:tcPr>
          <w:p w:rsidR="00881270" w:rsidRPr="00651BF9" w:rsidRDefault="005131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1270">
        <w:tc>
          <w:tcPr>
            <w:tcW w:w="7715" w:type="dxa"/>
          </w:tcPr>
          <w:p w:rsidR="00881270" w:rsidRDefault="00513138" w:rsidP="00881270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1313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 дослідження при артеріальній гіпертензії: </w:t>
            </w:r>
            <w:r w:rsidR="0088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ЕКГ, </w:t>
            </w:r>
            <w:proofErr w:type="spellStart"/>
            <w:r w:rsidR="00881270">
              <w:rPr>
                <w:rFonts w:ascii="Times New Roman" w:eastAsia="Times New Roman" w:hAnsi="Times New Roman" w:cs="Times New Roman"/>
                <w:sz w:val="24"/>
                <w:szCs w:val="24"/>
              </w:rPr>
              <w:t>ЕхоКГ</w:t>
            </w:r>
            <w:proofErr w:type="spellEnd"/>
            <w:r w:rsidR="0088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гі</w:t>
            </w:r>
            <w:r w:rsidR="00C60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пертрофії відділів серця. </w:t>
            </w:r>
            <w:proofErr w:type="spellStart"/>
            <w:r w:rsidR="00C60DB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Ремоде</w:t>
            </w:r>
            <w:r w:rsidR="00881270">
              <w:rPr>
                <w:rFonts w:ascii="Times New Roman" w:eastAsia="Times New Roman" w:hAnsi="Times New Roman" w:cs="Times New Roman"/>
                <w:sz w:val="24"/>
                <w:szCs w:val="24"/>
              </w:rPr>
              <w:t>лювання</w:t>
            </w:r>
            <w:proofErr w:type="spellEnd"/>
            <w:r w:rsidR="0088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лівого шлуночка при АГ. Тканинна </w:t>
            </w:r>
            <w:proofErr w:type="spellStart"/>
            <w:r w:rsidR="0088127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доплерографія</w:t>
            </w:r>
            <w:proofErr w:type="spellEnd"/>
            <w:r w:rsidR="0088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диференційної діагностики гіпертрофії ЛШ</w:t>
            </w:r>
            <w:r w:rsidR="00C60D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81270" w:rsidRDefault="00513138" w:rsidP="008812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60DB3">
        <w:tc>
          <w:tcPr>
            <w:tcW w:w="7715" w:type="dxa"/>
          </w:tcPr>
          <w:p w:rsidR="00C60DB3" w:rsidRPr="00513138" w:rsidRDefault="00C60DB3" w:rsidP="00881270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артеріального тиску</w:t>
            </w:r>
          </w:p>
        </w:tc>
        <w:tc>
          <w:tcPr>
            <w:tcW w:w="1418" w:type="dxa"/>
          </w:tcPr>
          <w:p w:rsidR="00C60DB3" w:rsidRDefault="00C60DB3" w:rsidP="008812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81270" w:rsidTr="00C60DB3">
        <w:trPr>
          <w:trHeight w:val="1124"/>
        </w:trPr>
        <w:tc>
          <w:tcPr>
            <w:tcW w:w="7715" w:type="dxa"/>
          </w:tcPr>
          <w:p w:rsidR="00881270" w:rsidRDefault="00881270" w:rsidP="00C60DB3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діференційної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діагностики  АГ:  офтальмоскопія очного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УЗД нирок, ниркових артерій,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сонографія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сосудів головного мозку, 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урографія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радіоізотопна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ренографія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аортографія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магнітно-резонансна ангіографія, рентгенографія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наднирников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81270" w:rsidRDefault="00C60DB3" w:rsidP="008812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81270">
        <w:tc>
          <w:tcPr>
            <w:tcW w:w="7715" w:type="dxa"/>
          </w:tcPr>
          <w:p w:rsidR="00881270" w:rsidRDefault="00C60DB3" w:rsidP="00881270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Тестовий контроль. </w:t>
            </w:r>
            <w:r w:rsidR="00881270">
              <w:rPr>
                <w:rFonts w:ascii="Times New Roman" w:eastAsia="Times New Roman" w:hAnsi="Times New Roman" w:cs="Times New Roman"/>
                <w:sz w:val="24"/>
                <w:szCs w:val="24"/>
              </w:rPr>
              <w:t>Усна співбесіда зі слухачем</w:t>
            </w:r>
          </w:p>
        </w:tc>
        <w:tc>
          <w:tcPr>
            <w:tcW w:w="1418" w:type="dxa"/>
          </w:tcPr>
          <w:p w:rsidR="00881270" w:rsidRDefault="00881270" w:rsidP="008812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81270">
        <w:tc>
          <w:tcPr>
            <w:tcW w:w="7715" w:type="dxa"/>
          </w:tcPr>
          <w:p w:rsidR="00881270" w:rsidRDefault="00881270" w:rsidP="00881270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Усього годин</w:t>
            </w:r>
          </w:p>
        </w:tc>
        <w:tc>
          <w:tcPr>
            <w:tcW w:w="1418" w:type="dxa"/>
          </w:tcPr>
          <w:p w:rsidR="00881270" w:rsidRDefault="00881270" w:rsidP="008812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</w:tbl>
    <w:p w:rsidR="00523809" w:rsidRDefault="0052380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Програма семінару </w:t>
      </w:r>
    </w:p>
    <w:p w:rsidR="00523809" w:rsidRDefault="0052380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265" w:rsidRDefault="007B6F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0265" w:rsidRPr="00E60265" w:rsidRDefault="00E6026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60265" w:rsidRDefault="00E6026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Pr="00C60DB3" w:rsidRDefault="007B6F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DB3">
        <w:rPr>
          <w:rFonts w:ascii="Times New Roman" w:eastAsia="Times New Roman" w:hAnsi="Times New Roman" w:cs="Times New Roman"/>
          <w:sz w:val="24"/>
          <w:szCs w:val="24"/>
        </w:rPr>
        <w:t>Тема 1</w:t>
      </w:r>
    </w:p>
    <w:p w:rsidR="00523809" w:rsidRPr="00C60DB3" w:rsidRDefault="00C60DB3">
      <w:pPr>
        <w:tabs>
          <w:tab w:val="left" w:pos="720"/>
          <w:tab w:val="left" w:pos="2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Синдром  АГ: класифікація, діагностика, </w:t>
      </w:r>
      <w:proofErr w:type="spellStart"/>
      <w:r w:rsidRPr="00C60DB3">
        <w:rPr>
          <w:rFonts w:ascii="Times New Roman" w:eastAsia="Times New Roman" w:hAnsi="Times New Roman" w:cs="Times New Roman"/>
          <w:sz w:val="24"/>
          <w:szCs w:val="24"/>
        </w:rPr>
        <w:t>могіторинг</w:t>
      </w:r>
      <w:proofErr w:type="spellEnd"/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 АД за </w:t>
      </w:r>
      <w:proofErr w:type="spellStart"/>
      <w:r w:rsidRPr="00C60DB3">
        <w:rPr>
          <w:rFonts w:ascii="Times New Roman" w:eastAsia="Times New Roman" w:hAnsi="Times New Roman" w:cs="Times New Roman"/>
          <w:sz w:val="24"/>
          <w:szCs w:val="24"/>
        </w:rPr>
        <w:t>данними</w:t>
      </w:r>
      <w:proofErr w:type="spellEnd"/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DB3">
        <w:rPr>
          <w:rFonts w:ascii="Times New Roman" w:eastAsia="Times New Roman" w:hAnsi="Times New Roman" w:cs="Times New Roman"/>
          <w:sz w:val="24"/>
          <w:szCs w:val="24"/>
        </w:rPr>
        <w:t>Європейского</w:t>
      </w:r>
      <w:proofErr w:type="spellEnd"/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 консенсусу 2018 р. та Глобальних практичних рекомендацій  з гіпертензії Міжнародного товариства з гіпертензії 2020р. цільові терапевтичні рівні певних груп. Типи добового профілю, їх значення. </w:t>
      </w:r>
      <w:proofErr w:type="spellStart"/>
      <w:r w:rsidRPr="00C60DB3">
        <w:rPr>
          <w:rFonts w:ascii="Times New Roman" w:eastAsia="Times New Roman" w:hAnsi="Times New Roman" w:cs="Times New Roman"/>
          <w:sz w:val="24"/>
          <w:szCs w:val="24"/>
        </w:rPr>
        <w:t>Осовлені</w:t>
      </w:r>
      <w:proofErr w:type="spellEnd"/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 фактори ризику АГ.  Стратифікація ризиків пацієнтів з АГ. Поняття </w:t>
      </w:r>
      <w:proofErr w:type="spellStart"/>
      <w:r w:rsidRPr="00C60DB3">
        <w:rPr>
          <w:rFonts w:ascii="Times New Roman" w:eastAsia="Times New Roman" w:hAnsi="Times New Roman" w:cs="Times New Roman"/>
          <w:sz w:val="24"/>
          <w:szCs w:val="24"/>
        </w:rPr>
        <w:t>резістентної</w:t>
      </w:r>
      <w:proofErr w:type="spellEnd"/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 гіпертензії, алгоритм встановлення діагнозу. Диференціальна діагностика вторинних </w:t>
      </w:r>
      <w:proofErr w:type="spellStart"/>
      <w:r w:rsidRPr="00C60DB3">
        <w:rPr>
          <w:rFonts w:ascii="Times New Roman" w:eastAsia="Times New Roman" w:hAnsi="Times New Roman" w:cs="Times New Roman"/>
          <w:sz w:val="24"/>
          <w:szCs w:val="24"/>
        </w:rPr>
        <w:t>гіпертензій</w:t>
      </w:r>
      <w:proofErr w:type="spellEnd"/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: ниркових, ендокринних, </w:t>
      </w:r>
      <w:proofErr w:type="spellStart"/>
      <w:r w:rsidRPr="00C60DB3">
        <w:rPr>
          <w:rFonts w:ascii="Times New Roman" w:eastAsia="Times New Roman" w:hAnsi="Times New Roman" w:cs="Times New Roman"/>
          <w:sz w:val="24"/>
          <w:szCs w:val="24"/>
        </w:rPr>
        <w:t>гемодінамічних</w:t>
      </w:r>
      <w:proofErr w:type="spellEnd"/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, СОНА та </w:t>
      </w:r>
      <w:proofErr w:type="spellStart"/>
      <w:r w:rsidRPr="00C60DB3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="007B6FCD" w:rsidRPr="00C60D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3809" w:rsidRPr="00C60DB3" w:rsidRDefault="007B6FCD">
      <w:pPr>
        <w:tabs>
          <w:tab w:val="left" w:pos="720"/>
          <w:tab w:val="left" w:pos="2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DB3">
        <w:rPr>
          <w:rFonts w:ascii="Times New Roman" w:eastAsia="Times New Roman" w:hAnsi="Times New Roman" w:cs="Times New Roman"/>
          <w:sz w:val="24"/>
          <w:szCs w:val="24"/>
        </w:rPr>
        <w:tab/>
        <w:t>Тема 2</w:t>
      </w:r>
    </w:p>
    <w:p w:rsidR="00523809" w:rsidRPr="00C60DB3" w:rsidRDefault="007B6FCD">
      <w:pPr>
        <w:widowControl w:val="0"/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Патофізіологічні механізми розвитку АГ. </w:t>
      </w:r>
      <w:r w:rsidR="00C60DB3" w:rsidRPr="00C60DB3">
        <w:rPr>
          <w:rFonts w:ascii="Times New Roman" w:eastAsia="Times New Roman" w:hAnsi="Times New Roman" w:cs="Times New Roman"/>
          <w:sz w:val="24"/>
          <w:szCs w:val="24"/>
        </w:rPr>
        <w:t xml:space="preserve">Поняття </w:t>
      </w:r>
      <w:proofErr w:type="spellStart"/>
      <w:r w:rsidR="00C60DB3" w:rsidRPr="00C60DB3">
        <w:rPr>
          <w:rFonts w:ascii="Times New Roman" w:eastAsia="Times New Roman" w:hAnsi="Times New Roman" w:cs="Times New Roman"/>
          <w:sz w:val="24"/>
          <w:szCs w:val="24"/>
        </w:rPr>
        <w:t>резістентної</w:t>
      </w:r>
      <w:proofErr w:type="spellEnd"/>
      <w:r w:rsidR="00C60DB3" w:rsidRPr="00C60DB3">
        <w:rPr>
          <w:rFonts w:ascii="Times New Roman" w:eastAsia="Times New Roman" w:hAnsi="Times New Roman" w:cs="Times New Roman"/>
          <w:sz w:val="24"/>
          <w:szCs w:val="24"/>
        </w:rPr>
        <w:t xml:space="preserve"> гіпертензії.</w:t>
      </w:r>
      <w:r w:rsidR="00CE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875">
        <w:rPr>
          <w:rFonts w:ascii="Times New Roman" w:eastAsia="Times New Roman" w:hAnsi="Times New Roman" w:cs="Times New Roman"/>
          <w:sz w:val="24"/>
          <w:szCs w:val="24"/>
        </w:rPr>
        <w:t xml:space="preserve">Причини резистентної гіпертензії . </w:t>
      </w:r>
      <w:proofErr w:type="spellStart"/>
      <w:r w:rsidR="00CE0875">
        <w:rPr>
          <w:rFonts w:ascii="Times New Roman" w:eastAsia="Times New Roman" w:hAnsi="Times New Roman" w:cs="Times New Roman"/>
          <w:sz w:val="24"/>
          <w:szCs w:val="24"/>
        </w:rPr>
        <w:t>Псевдорезистентна</w:t>
      </w:r>
      <w:proofErr w:type="spellEnd"/>
      <w:r w:rsidR="00CE0875">
        <w:rPr>
          <w:rFonts w:ascii="Times New Roman" w:eastAsia="Times New Roman" w:hAnsi="Times New Roman" w:cs="Times New Roman"/>
          <w:sz w:val="24"/>
          <w:szCs w:val="24"/>
        </w:rPr>
        <w:t xml:space="preserve"> АГ, її причини. Підтвердження резистентної гіпертензії</w:t>
      </w:r>
      <w:r w:rsidR="00C60DB3" w:rsidRPr="00C60DB3">
        <w:rPr>
          <w:rFonts w:ascii="Times New Roman" w:eastAsia="Times New Roman" w:hAnsi="Times New Roman" w:cs="Times New Roman"/>
          <w:sz w:val="24"/>
          <w:szCs w:val="24"/>
        </w:rPr>
        <w:t xml:space="preserve"> Диференціальна діагностика вторинних </w:t>
      </w:r>
      <w:proofErr w:type="spellStart"/>
      <w:r w:rsidR="00C60DB3" w:rsidRPr="00C60DB3">
        <w:rPr>
          <w:rFonts w:ascii="Times New Roman" w:eastAsia="Times New Roman" w:hAnsi="Times New Roman" w:cs="Times New Roman"/>
          <w:sz w:val="24"/>
          <w:szCs w:val="24"/>
        </w:rPr>
        <w:t>гіпертензій</w:t>
      </w:r>
      <w:proofErr w:type="spellEnd"/>
      <w:r w:rsidR="00C60DB3" w:rsidRPr="00C60DB3">
        <w:rPr>
          <w:rFonts w:ascii="Times New Roman" w:eastAsia="Times New Roman" w:hAnsi="Times New Roman" w:cs="Times New Roman"/>
          <w:sz w:val="24"/>
          <w:szCs w:val="24"/>
        </w:rPr>
        <w:t>. Ведення пацієнтів з резистентною АГ.</w:t>
      </w:r>
      <w:r w:rsidR="00C60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DB3" w:rsidRPr="00C60DB3">
        <w:rPr>
          <w:rFonts w:ascii="Times New Roman" w:eastAsia="Times New Roman" w:hAnsi="Times New Roman" w:cs="Times New Roman"/>
          <w:sz w:val="24"/>
          <w:szCs w:val="24"/>
        </w:rPr>
        <w:t>Особливості лікування пацієнтів з резистентною АГ.</w:t>
      </w:r>
      <w:r w:rsidR="00CE0875">
        <w:rPr>
          <w:rFonts w:ascii="Times New Roman" w:eastAsia="Times New Roman" w:hAnsi="Times New Roman" w:cs="Times New Roman"/>
          <w:sz w:val="24"/>
          <w:szCs w:val="24"/>
        </w:rPr>
        <w:t xml:space="preserve"> Виключення  </w:t>
      </w:r>
      <w:proofErr w:type="spellStart"/>
      <w:r w:rsidR="00CE0875">
        <w:rPr>
          <w:rFonts w:ascii="Times New Roman" w:eastAsia="Times New Roman" w:hAnsi="Times New Roman" w:cs="Times New Roman"/>
          <w:sz w:val="24"/>
          <w:szCs w:val="24"/>
        </w:rPr>
        <w:t>псевдорезистентної</w:t>
      </w:r>
      <w:proofErr w:type="spellEnd"/>
      <w:r w:rsidR="00CE0875">
        <w:rPr>
          <w:rFonts w:ascii="Times New Roman" w:eastAsia="Times New Roman" w:hAnsi="Times New Roman" w:cs="Times New Roman"/>
          <w:sz w:val="24"/>
          <w:szCs w:val="24"/>
        </w:rPr>
        <w:t xml:space="preserve"> гіпертензії. </w:t>
      </w:r>
    </w:p>
    <w:p w:rsidR="00523809" w:rsidRPr="00C60DB3" w:rsidRDefault="00523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Pr="00C60DB3" w:rsidRDefault="007B6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DB3">
        <w:rPr>
          <w:rFonts w:ascii="Times New Roman" w:eastAsia="Times New Roman" w:hAnsi="Times New Roman" w:cs="Times New Roman"/>
          <w:sz w:val="24"/>
          <w:szCs w:val="24"/>
        </w:rPr>
        <w:t>Тема 3</w:t>
      </w:r>
    </w:p>
    <w:p w:rsidR="00C60DB3" w:rsidRPr="00C60DB3" w:rsidRDefault="00C60DB3" w:rsidP="00C60D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Лікування синдрому </w:t>
      </w:r>
      <w:proofErr w:type="spellStart"/>
      <w:r w:rsidRPr="00C60DB3">
        <w:rPr>
          <w:rFonts w:ascii="Times New Roman" w:eastAsia="Times New Roman" w:hAnsi="Times New Roman" w:cs="Times New Roman"/>
          <w:sz w:val="24"/>
          <w:szCs w:val="24"/>
        </w:rPr>
        <w:t>артеріальной</w:t>
      </w:r>
      <w:proofErr w:type="spellEnd"/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 гіпертензії: загальні принципи. Цільові терапевтичні рівні АГ у різних груп </w:t>
      </w:r>
      <w:proofErr w:type="spellStart"/>
      <w:r w:rsidRPr="00C60DB3">
        <w:rPr>
          <w:rFonts w:ascii="Times New Roman" w:eastAsia="Times New Roman" w:hAnsi="Times New Roman" w:cs="Times New Roman"/>
          <w:sz w:val="24"/>
          <w:szCs w:val="24"/>
        </w:rPr>
        <w:t>пацієнтов</w:t>
      </w:r>
      <w:proofErr w:type="spellEnd"/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. Нові підходи в медикаментозній та немедикаментозній терапії АГ. Лікування пацієнтів з АГ та супутніми ІХС, ХБП, АФ. Принципи ведення гіпертензії у вагітних: класифікація </w:t>
      </w:r>
      <w:proofErr w:type="spellStart"/>
      <w:r w:rsidRPr="00C60DB3">
        <w:rPr>
          <w:rFonts w:ascii="Times New Roman" w:eastAsia="Times New Roman" w:hAnsi="Times New Roman" w:cs="Times New Roman"/>
          <w:sz w:val="24"/>
          <w:szCs w:val="24"/>
        </w:rPr>
        <w:t>гіпертензивних</w:t>
      </w:r>
      <w:proofErr w:type="spellEnd"/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 станів та особливості втручання. </w:t>
      </w:r>
      <w:proofErr w:type="spellStart"/>
      <w:r w:rsidRPr="00C60DB3">
        <w:rPr>
          <w:rFonts w:ascii="Times New Roman" w:eastAsia="Times New Roman" w:hAnsi="Times New Roman" w:cs="Times New Roman"/>
          <w:sz w:val="24"/>
          <w:szCs w:val="24"/>
        </w:rPr>
        <w:t>Моніторінг</w:t>
      </w:r>
      <w:proofErr w:type="spellEnd"/>
      <w:r w:rsidRPr="00C60DB3">
        <w:rPr>
          <w:rFonts w:ascii="Times New Roman" w:eastAsia="Times New Roman" w:hAnsi="Times New Roman" w:cs="Times New Roman"/>
          <w:sz w:val="24"/>
          <w:szCs w:val="24"/>
        </w:rPr>
        <w:t xml:space="preserve"> факторів ризику АГ : цільові рівні показників та засоби контролю. </w:t>
      </w:r>
    </w:p>
    <w:p w:rsidR="00523809" w:rsidRDefault="0052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tabs>
          <w:tab w:val="left" w:pos="720"/>
          <w:tab w:val="left" w:pos="2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Тема 4</w:t>
      </w:r>
    </w:p>
    <w:p w:rsidR="00C60DB3" w:rsidRDefault="00CE0875" w:rsidP="00C6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3138">
        <w:rPr>
          <w:rFonts w:ascii="Times New Roman" w:eastAsia="Times New Roman" w:hAnsi="Times New Roman" w:cs="Times New Roman"/>
          <w:sz w:val="24"/>
          <w:szCs w:val="24"/>
        </w:rPr>
        <w:t>Функциональн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 дослідження при артеріальній гіпертензії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DB3">
        <w:rPr>
          <w:rFonts w:ascii="Times New Roman" w:eastAsia="Times New Roman" w:hAnsi="Times New Roman" w:cs="Times New Roman"/>
          <w:sz w:val="24"/>
          <w:szCs w:val="24"/>
        </w:rPr>
        <w:t xml:space="preserve">ЕКГ, </w:t>
      </w:r>
      <w:proofErr w:type="spellStart"/>
      <w:r w:rsidR="00C60DB3">
        <w:rPr>
          <w:rFonts w:ascii="Times New Roman" w:eastAsia="Times New Roman" w:hAnsi="Times New Roman" w:cs="Times New Roman"/>
          <w:sz w:val="24"/>
          <w:szCs w:val="24"/>
        </w:rPr>
        <w:t>ЕхоКГ</w:t>
      </w:r>
      <w:proofErr w:type="spellEnd"/>
      <w:r w:rsidR="00C60DB3">
        <w:rPr>
          <w:rFonts w:ascii="Times New Roman" w:eastAsia="Times New Roman" w:hAnsi="Times New Roman" w:cs="Times New Roman"/>
          <w:sz w:val="24"/>
          <w:szCs w:val="24"/>
        </w:rPr>
        <w:t xml:space="preserve">  при гіпертрофії відділів серця. Варіанти </w:t>
      </w:r>
      <w:proofErr w:type="spellStart"/>
      <w:r w:rsidR="00C60DB3">
        <w:rPr>
          <w:rFonts w:ascii="Times New Roman" w:eastAsia="Times New Roman" w:hAnsi="Times New Roman" w:cs="Times New Roman"/>
          <w:sz w:val="24"/>
          <w:szCs w:val="24"/>
        </w:rPr>
        <w:t>ремодолювання</w:t>
      </w:r>
      <w:proofErr w:type="spellEnd"/>
      <w:r w:rsidR="00C60DB3">
        <w:rPr>
          <w:rFonts w:ascii="Times New Roman" w:eastAsia="Times New Roman" w:hAnsi="Times New Roman" w:cs="Times New Roman"/>
          <w:sz w:val="24"/>
          <w:szCs w:val="24"/>
        </w:rPr>
        <w:t xml:space="preserve"> лівого шлуночка при АГ. Тканинна </w:t>
      </w:r>
      <w:proofErr w:type="spellStart"/>
      <w:r w:rsidR="00C60DB3">
        <w:rPr>
          <w:rFonts w:ascii="Times New Roman" w:eastAsia="Times New Roman" w:hAnsi="Times New Roman" w:cs="Times New Roman"/>
          <w:sz w:val="24"/>
          <w:szCs w:val="24"/>
        </w:rPr>
        <w:t>допплерографія</w:t>
      </w:r>
      <w:proofErr w:type="spellEnd"/>
      <w:r w:rsidR="00C60DB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C60DB3">
        <w:rPr>
          <w:rFonts w:ascii="Times New Roman" w:eastAsia="Times New Roman" w:hAnsi="Times New Roman" w:cs="Times New Roman"/>
          <w:sz w:val="24"/>
          <w:szCs w:val="24"/>
        </w:rPr>
        <w:t>діференційної</w:t>
      </w:r>
      <w:proofErr w:type="spellEnd"/>
      <w:r w:rsidR="00C60DB3">
        <w:rPr>
          <w:rFonts w:ascii="Times New Roman" w:eastAsia="Times New Roman" w:hAnsi="Times New Roman" w:cs="Times New Roman"/>
          <w:sz w:val="24"/>
          <w:szCs w:val="24"/>
        </w:rPr>
        <w:t xml:space="preserve"> діагностики гіпертрофії ЛШ Методи аналізу ЕКГ. Аналіз </w:t>
      </w:r>
      <w:proofErr w:type="spellStart"/>
      <w:r w:rsidR="00C60DB3">
        <w:rPr>
          <w:rFonts w:ascii="Times New Roman" w:eastAsia="Times New Roman" w:hAnsi="Times New Roman" w:cs="Times New Roman"/>
          <w:sz w:val="24"/>
          <w:szCs w:val="24"/>
        </w:rPr>
        <w:t>ЕхоКГ</w:t>
      </w:r>
      <w:proofErr w:type="spellEnd"/>
      <w:r w:rsidR="00C60DB3">
        <w:rPr>
          <w:rFonts w:ascii="Times New Roman" w:eastAsia="Times New Roman" w:hAnsi="Times New Roman" w:cs="Times New Roman"/>
          <w:sz w:val="24"/>
          <w:szCs w:val="24"/>
        </w:rPr>
        <w:t>. Векторний аналіз ЕКГ. ЕКГ</w:t>
      </w:r>
      <w:r w:rsidR="00C60DB3">
        <w:rPr>
          <w:rFonts w:ascii="Times New Roman" w:eastAsia="Times New Roman" w:hAnsi="Times New Roman" w:cs="Times New Roman"/>
          <w:sz w:val="24"/>
          <w:szCs w:val="24"/>
        </w:rPr>
        <w:t xml:space="preserve"> у нормі та при гіпертрофії ЛШ. </w:t>
      </w:r>
      <w:r w:rsidR="00C60DB3">
        <w:rPr>
          <w:rFonts w:ascii="Times New Roman" w:eastAsia="Times New Roman" w:hAnsi="Times New Roman" w:cs="Times New Roman"/>
          <w:sz w:val="24"/>
          <w:szCs w:val="24"/>
        </w:rPr>
        <w:t xml:space="preserve">Електрична позиція серця , її  зміни при гіпертрофії ЛШ. Варіанти змін </w:t>
      </w:r>
      <w:proofErr w:type="spellStart"/>
      <w:r w:rsidR="00C60DB3">
        <w:rPr>
          <w:rFonts w:ascii="Times New Roman" w:eastAsia="Times New Roman" w:hAnsi="Times New Roman" w:cs="Times New Roman"/>
          <w:sz w:val="24"/>
          <w:szCs w:val="24"/>
        </w:rPr>
        <w:t>ЕхоКГ</w:t>
      </w:r>
      <w:proofErr w:type="spellEnd"/>
      <w:r w:rsidR="00C60DB3">
        <w:rPr>
          <w:rFonts w:ascii="Times New Roman" w:eastAsia="Times New Roman" w:hAnsi="Times New Roman" w:cs="Times New Roman"/>
          <w:sz w:val="24"/>
          <w:szCs w:val="24"/>
        </w:rPr>
        <w:t xml:space="preserve"> при гіпертрофії ЛШ. Порушення </w:t>
      </w:r>
      <w:proofErr w:type="spellStart"/>
      <w:r w:rsidR="00C60DB3">
        <w:rPr>
          <w:rFonts w:ascii="Times New Roman" w:eastAsia="Times New Roman" w:hAnsi="Times New Roman" w:cs="Times New Roman"/>
          <w:sz w:val="24"/>
          <w:szCs w:val="24"/>
        </w:rPr>
        <w:t>діастолічної</w:t>
      </w:r>
      <w:proofErr w:type="spellEnd"/>
      <w:r w:rsidR="00C60DB3">
        <w:rPr>
          <w:rFonts w:ascii="Times New Roman" w:eastAsia="Times New Roman" w:hAnsi="Times New Roman" w:cs="Times New Roman"/>
          <w:sz w:val="24"/>
          <w:szCs w:val="24"/>
        </w:rPr>
        <w:t xml:space="preserve"> функції ЛШ при його гіпертрофії.</w:t>
      </w:r>
    </w:p>
    <w:p w:rsidR="00523809" w:rsidRDefault="00523809">
      <w:pPr>
        <w:tabs>
          <w:tab w:val="left" w:pos="261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tabs>
          <w:tab w:val="left" w:pos="261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5</w:t>
      </w:r>
    </w:p>
    <w:p w:rsidR="00523809" w:rsidRDefault="00CE0875" w:rsidP="00651BF9">
      <w:pPr>
        <w:tabs>
          <w:tab w:val="left" w:pos="720"/>
          <w:tab w:val="left" w:pos="2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мониторування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артеріального тиску</w:t>
      </w:r>
      <w:r w:rsidR="00651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(ДМАТ)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1BF9">
        <w:rPr>
          <w:rFonts w:ascii="Times New Roman" w:eastAsia="Times New Roman" w:hAnsi="Times New Roman" w:cs="Times New Roman"/>
          <w:sz w:val="24"/>
          <w:szCs w:val="24"/>
          <w:lang w:val="ru-RU"/>
        </w:rPr>
        <w:t>Обмеження</w:t>
      </w:r>
      <w:proofErr w:type="spellEnd"/>
      <w:r w:rsidR="00651B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ДМАТ. </w:t>
      </w:r>
      <w:r w:rsidR="00651BF9">
        <w:rPr>
          <w:rFonts w:ascii="Times New Roman" w:eastAsia="Times New Roman" w:hAnsi="Times New Roman" w:cs="Times New Roman"/>
          <w:sz w:val="24"/>
          <w:szCs w:val="24"/>
        </w:rPr>
        <w:t>Основні підходи до формування заключення. Поняття варіабельності артеріального тиску. Варіанти варіабельності АТ.  Добовий індекс. Варіанти добового індексу.</w:t>
      </w:r>
      <w:r w:rsidR="00651BF9" w:rsidRPr="00651BF9">
        <w:rPr>
          <w:rFonts w:ascii="Times New Roman" w:eastAsia="Times New Roman" w:hAnsi="Times New Roman" w:cs="Times New Roman"/>
          <w:sz w:val="24"/>
          <w:szCs w:val="24"/>
        </w:rPr>
        <w:t xml:space="preserve"> Порушення циркадного ритму. Домашн</w:t>
      </w:r>
      <w:r w:rsidR="00651BF9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proofErr w:type="spellStart"/>
      <w:r w:rsidR="00651BF9">
        <w:rPr>
          <w:rFonts w:ascii="Times New Roman" w:eastAsia="Times New Roman" w:hAnsi="Times New Roman" w:cs="Times New Roman"/>
          <w:sz w:val="24"/>
          <w:szCs w:val="24"/>
        </w:rPr>
        <w:t>моніторування</w:t>
      </w:r>
      <w:proofErr w:type="spellEnd"/>
      <w:r w:rsidR="00651BF9">
        <w:rPr>
          <w:rFonts w:ascii="Times New Roman" w:eastAsia="Times New Roman" w:hAnsi="Times New Roman" w:cs="Times New Roman"/>
          <w:sz w:val="24"/>
          <w:szCs w:val="24"/>
        </w:rPr>
        <w:t>. Клінічне значення варіабельності артеріального тиску.</w:t>
      </w:r>
    </w:p>
    <w:p w:rsidR="00651BF9" w:rsidRPr="00651BF9" w:rsidRDefault="00651BF9" w:rsidP="00651BF9">
      <w:pPr>
        <w:tabs>
          <w:tab w:val="left" w:pos="720"/>
          <w:tab w:val="left" w:pos="2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tabs>
          <w:tab w:val="left" w:pos="720"/>
          <w:tab w:val="left" w:pos="261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6</w:t>
      </w:r>
    </w:p>
    <w:p w:rsidR="00523809" w:rsidRDefault="007B6FCD">
      <w:pPr>
        <w:tabs>
          <w:tab w:val="left" w:pos="720"/>
          <w:tab w:val="left" w:pos="2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діференційної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діагностики АГ:  офтальмоскопія очного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УЗД нирок, ниркових артерій, лабораторні показники крові,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сонографія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сосудів головного мозку, КТ,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урографія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радіоізотопна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ренографія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аортографія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магнітно-резонансна ангіографія, рентгенографія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наднирников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51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BF9">
        <w:rPr>
          <w:rFonts w:ascii="Times New Roman" w:eastAsia="Times New Roman" w:hAnsi="Times New Roman" w:cs="Times New Roman"/>
          <w:sz w:val="24"/>
          <w:szCs w:val="24"/>
        </w:rPr>
        <w:t xml:space="preserve">Інформаційний лист для пацієнта з артеріальною гіпертензією.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3809" w:rsidRDefault="00523809">
      <w:pPr>
        <w:tabs>
          <w:tab w:val="left" w:pos="720"/>
          <w:tab w:val="left" w:pos="2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 w:rsidP="00651BF9">
      <w:pPr>
        <w:tabs>
          <w:tab w:val="left" w:pos="720"/>
          <w:tab w:val="left" w:pos="2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51BF9">
        <w:rPr>
          <w:rFonts w:ascii="Times New Roman" w:eastAsia="Times New Roman" w:hAnsi="Times New Roman" w:cs="Times New Roman"/>
          <w:sz w:val="24"/>
          <w:szCs w:val="24"/>
        </w:rPr>
        <w:t xml:space="preserve">            Тема 7</w:t>
      </w:r>
    </w:p>
    <w:p w:rsidR="00523809" w:rsidRDefault="00651BF9">
      <w:pPr>
        <w:spacing w:after="0" w:line="240" w:lineRule="auto"/>
        <w:ind w:left="7513" w:hanging="75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Тестовий контроль. </w:t>
      </w:r>
      <w:r w:rsidR="007B6FCD">
        <w:rPr>
          <w:rFonts w:ascii="Times New Roman" w:eastAsia="Times New Roman" w:hAnsi="Times New Roman" w:cs="Times New Roman"/>
          <w:sz w:val="24"/>
          <w:szCs w:val="24"/>
        </w:rPr>
        <w:t>Усна співбесіда зі слухачем</w:t>
      </w:r>
    </w:p>
    <w:p w:rsidR="00523809" w:rsidRDefault="007B6FCD">
      <w:pPr>
        <w:tabs>
          <w:tab w:val="left" w:pos="284"/>
          <w:tab w:val="left" w:pos="567"/>
          <w:tab w:val="left" w:pos="6551"/>
        </w:tabs>
        <w:spacing w:after="0" w:line="240" w:lineRule="auto"/>
        <w:ind w:left="360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3809" w:rsidRDefault="007B6F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Навчально-методична картка семінару </w:t>
      </w:r>
    </w:p>
    <w:p w:rsidR="00523809" w:rsidRDefault="007B6FCD">
      <w:pPr>
        <w:tabs>
          <w:tab w:val="left" w:pos="284"/>
          <w:tab w:val="left" w:pos="567"/>
          <w:tab w:val="left" w:pos="65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 навчання:</w:t>
      </w:r>
    </w:p>
    <w:p w:rsidR="00523809" w:rsidRDefault="007B6FCD">
      <w:pPr>
        <w:tabs>
          <w:tab w:val="left" w:pos="284"/>
          <w:tab w:val="left" w:pos="567"/>
          <w:tab w:val="left" w:pos="65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Семінарські заняття.</w:t>
      </w:r>
    </w:p>
    <w:p w:rsidR="00523809" w:rsidRDefault="00523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Оцінювання навчальної діяльності на семінарі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Артеріальна гіпертензія. Важливі аспекти диференціальної діагностики та лікування»</w:t>
      </w:r>
    </w:p>
    <w:p w:rsidR="00523809" w:rsidRDefault="005238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809" w:rsidRDefault="007B6FCD">
      <w:pPr>
        <w:tabs>
          <w:tab w:val="left" w:pos="284"/>
          <w:tab w:val="left" w:pos="567"/>
          <w:tab w:val="left" w:pos="6551"/>
        </w:tabs>
        <w:spacing w:after="0" w:line="240" w:lineRule="auto"/>
        <w:ind w:left="360" w:firstLine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проводиться відповідно до його структури, де враховується самостійна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робота.і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наприкінці проводиться усна співбесіда за слухачем  </w:t>
      </w:r>
    </w:p>
    <w:p w:rsidR="00523809" w:rsidRDefault="007B6FCD">
      <w:pPr>
        <w:tabs>
          <w:tab w:val="left" w:pos="284"/>
          <w:tab w:val="left" w:pos="567"/>
          <w:tab w:val="left" w:pos="6551"/>
        </w:tabs>
        <w:spacing w:after="0" w:line="240" w:lineRule="auto"/>
        <w:ind w:left="360" w:firstLine="4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Критерії оцінки</w:t>
      </w:r>
    </w:p>
    <w:p w:rsidR="00523809" w:rsidRDefault="007B6FC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слухача семінару виявляють визначення досягнення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бінарною системою склав /не склав.</w:t>
      </w:r>
    </w:p>
    <w:p w:rsidR="00523809" w:rsidRDefault="007B6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Методичне забезпечення</w:t>
      </w:r>
    </w:p>
    <w:p w:rsidR="00523809" w:rsidRDefault="007B6F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Мультимедійні презентації, відеофільми,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відеороліки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вебінари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темами</w:t>
      </w:r>
    </w:p>
    <w:p w:rsidR="00523809" w:rsidRDefault="007B6F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23809" w:rsidRDefault="007B6FCD">
      <w:pPr>
        <w:widowControl w:val="0"/>
        <w:tabs>
          <w:tab w:val="left" w:pos="1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8. Рекомендовані джерела</w:t>
      </w:r>
    </w:p>
    <w:p w:rsidR="00523809" w:rsidRDefault="007B6FC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Основна (базова)</w:t>
      </w:r>
    </w:p>
    <w:p w:rsidR="00523809" w:rsidRDefault="0052380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3809" w:rsidRDefault="007B6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Т. Хворостинка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сердечно-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сосудистой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2009.-с.</w:t>
      </w:r>
    </w:p>
    <w:p w:rsidR="00523809" w:rsidRDefault="007B6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болезней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болезней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сердца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сосудов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Мед.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- с. 355 -365.</w:t>
      </w:r>
    </w:p>
    <w:p w:rsidR="00523809" w:rsidRDefault="007B6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болезней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т. 3.,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Высшая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Витебск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Белмедкнига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2013.- С.1-44. </w:t>
      </w:r>
    </w:p>
    <w:p w:rsidR="00523809" w:rsidRDefault="007B6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АГ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Европейского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борьбе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гипертензией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Европейского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кардиологического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2003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Cepцe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судини. - 2003. - № 4. - с. 15-28. </w:t>
      </w:r>
    </w:p>
    <w:p w:rsidR="00523809" w:rsidRDefault="007B6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Рекомендації Української асоціації кардіологів з профілактики та лікування АГ. - Київ, 2004. - 13 с.</w:t>
      </w:r>
    </w:p>
    <w:p w:rsidR="00523809" w:rsidRDefault="007B6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 Сидоренко Г.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Нейроциркуляторная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дистония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Г. И. Сидоренко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Международный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журнал. - № 1. -2003. – с. 22-27. </w:t>
      </w:r>
    </w:p>
    <w:p w:rsidR="00523809" w:rsidRDefault="007B6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Costa's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syndrome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neurocirculatory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asthenia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J. – 1987.-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58 (4). – p. 306–315.</w:t>
      </w:r>
    </w:p>
    <w:p w:rsidR="00523809" w:rsidRDefault="007B6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asthenia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syndrome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Bruetman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– 2010.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70 (3). –p. 284- 292.  </w:t>
      </w:r>
    </w:p>
    <w:p w:rsidR="00523809" w:rsidRDefault="005238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809" w:rsidRDefault="007B6F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651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Додаткові ресурси  </w:t>
      </w:r>
    </w:p>
    <w:p w:rsidR="00523809" w:rsidRDefault="0052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23809" w:rsidRDefault="007B6FCD">
      <w:pPr>
        <w:shd w:val="clear" w:color="auto" w:fill="FFFFFF"/>
        <w:tabs>
          <w:tab w:val="left" w:pos="365"/>
        </w:tabs>
        <w:spacing w:before="14"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Артеріальна гіпертензія. Оновлена та адапто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вана клінічна настанова, заснована на доказах. – 2012 </w:t>
      </w:r>
    </w:p>
    <w:p w:rsidR="00651BF9" w:rsidRDefault="00651BF9">
      <w:pPr>
        <w:shd w:val="clear" w:color="auto" w:fill="FFFFFF"/>
        <w:tabs>
          <w:tab w:val="left" w:pos="365"/>
        </w:tabs>
        <w:spacing w:before="14"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>Reznik</w:t>
      </w:r>
      <w:proofErr w:type="spellEnd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E.V., </w:t>
      </w:r>
      <w:proofErr w:type="spellStart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>Nikitin</w:t>
      </w:r>
      <w:proofErr w:type="spellEnd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I.G. </w:t>
      </w:r>
      <w:proofErr w:type="spellStart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АСС/AHA </w:t>
      </w:r>
      <w:proofErr w:type="spellStart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ESC/ESH </w:t>
      </w:r>
      <w:proofErr w:type="spellStart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>arterial</w:t>
      </w:r>
      <w:proofErr w:type="spellEnd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>hypertension</w:t>
      </w:r>
      <w:proofErr w:type="spellEnd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>guidelines</w:t>
      </w:r>
      <w:proofErr w:type="spellEnd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651BF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Cardiovascular</w:t>
      </w:r>
      <w:proofErr w:type="spellEnd"/>
      <w:r w:rsidRPr="00651BF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51BF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Therapy</w:t>
      </w:r>
      <w:proofErr w:type="spellEnd"/>
      <w:r w:rsidRPr="00651BF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51BF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</w:t>
      </w:r>
      <w:proofErr w:type="spellEnd"/>
      <w:r w:rsidRPr="00651BF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51BF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Prevention</w:t>
      </w:r>
      <w:proofErr w:type="spellEnd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>. 2018;17(5):99-119. (</w:t>
      </w:r>
      <w:proofErr w:type="spellStart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>Russ</w:t>
      </w:r>
      <w:proofErr w:type="spellEnd"/>
      <w:r w:rsidRPr="00651BF9">
        <w:rPr>
          <w:rFonts w:ascii="Times New Roman" w:hAnsi="Times New Roman" w:cs="Times New Roman"/>
          <w:sz w:val="24"/>
          <w:szCs w:val="24"/>
          <w:shd w:val="clear" w:color="auto" w:fill="FFFFFF"/>
        </w:rPr>
        <w:t>.) </w:t>
      </w:r>
      <w:hyperlink r:id="rId5" w:tgtFrame="_blank" w:history="1">
        <w:r w:rsidRPr="00651BF9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https://doi.org/10.15829/1728-8800-2018-5-99-119</w:t>
        </w:r>
      </w:hyperlink>
    </w:p>
    <w:p w:rsidR="00523809" w:rsidRDefault="00651BF9">
      <w:pPr>
        <w:shd w:val="clear" w:color="auto" w:fill="FFFFFF"/>
        <w:tabs>
          <w:tab w:val="left" w:pos="365"/>
        </w:tabs>
        <w:spacing w:before="14"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7B6FCD">
        <w:rPr>
          <w:rFonts w:ascii="Times New Roman" w:eastAsia="Times New Roman" w:hAnsi="Times New Roman" w:cs="Times New Roman"/>
          <w:sz w:val="24"/>
          <w:szCs w:val="24"/>
        </w:rPr>
        <w:t>. Наказ МОЗ України від 23.02.2012 № 132 «Про затвердження Примірного табеля оснащення лікувально-профілактичних підрозділів закладів охорони здоров'я, що надають первинну медичну (</w:t>
      </w:r>
      <w:proofErr w:type="spellStart"/>
      <w:r w:rsidR="007B6FCD">
        <w:rPr>
          <w:rFonts w:ascii="Times New Roman" w:eastAsia="Times New Roman" w:hAnsi="Times New Roman" w:cs="Times New Roman"/>
          <w:sz w:val="24"/>
          <w:szCs w:val="24"/>
        </w:rPr>
        <w:t>медикосанітарну</w:t>
      </w:r>
      <w:proofErr w:type="spellEnd"/>
      <w:r w:rsidR="007B6FCD">
        <w:rPr>
          <w:rFonts w:ascii="Times New Roman" w:eastAsia="Times New Roman" w:hAnsi="Times New Roman" w:cs="Times New Roman"/>
          <w:sz w:val="24"/>
          <w:szCs w:val="24"/>
        </w:rPr>
        <w:t xml:space="preserve">) допомогу» </w:t>
      </w:r>
    </w:p>
    <w:p w:rsidR="00523809" w:rsidRDefault="00651BF9">
      <w:pPr>
        <w:shd w:val="clear" w:color="auto" w:fill="FFFFFF"/>
        <w:tabs>
          <w:tab w:val="left" w:pos="365"/>
        </w:tabs>
        <w:spacing w:before="14"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B6FCD">
        <w:rPr>
          <w:rFonts w:ascii="Times New Roman" w:eastAsia="Times New Roman" w:hAnsi="Times New Roman" w:cs="Times New Roman"/>
          <w:sz w:val="24"/>
          <w:szCs w:val="24"/>
        </w:rPr>
        <w:t xml:space="preserve">. Наказ МОЗ України від 28.03.2012 № 209 «Про затвердження четвертого випуску Державного формуляра лікарських засобів та забезпечення його доступності» </w:t>
      </w:r>
    </w:p>
    <w:p w:rsidR="00523809" w:rsidRDefault="00651BF9">
      <w:pPr>
        <w:shd w:val="clear" w:color="auto" w:fill="FFFFFF"/>
        <w:tabs>
          <w:tab w:val="left" w:pos="365"/>
        </w:tabs>
        <w:spacing w:before="14"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B6FCD">
        <w:rPr>
          <w:rFonts w:ascii="Times New Roman" w:eastAsia="Times New Roman" w:hAnsi="Times New Roman" w:cs="Times New Roman"/>
          <w:sz w:val="24"/>
          <w:szCs w:val="24"/>
        </w:rPr>
        <w:t xml:space="preserve">. Наказ МОЗ України від 05.10.2011 № 646 «Про затвердження нормативно-правових актів Міністерства охорони здоров'я України щодо реалізації Закону України "Про порядок проведення реформування системи охорони здоров'я у Вінницькій, Дніпропетровській, Донецькій областях та місті Києві» </w:t>
      </w:r>
    </w:p>
    <w:p w:rsidR="00523809" w:rsidRDefault="00651BF9">
      <w:pPr>
        <w:shd w:val="clear" w:color="auto" w:fill="FFFFFF"/>
        <w:tabs>
          <w:tab w:val="left" w:pos="365"/>
        </w:tabs>
        <w:spacing w:before="14"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B6FCD">
        <w:rPr>
          <w:rFonts w:ascii="Times New Roman" w:eastAsia="Times New Roman" w:hAnsi="Times New Roman" w:cs="Times New Roman"/>
          <w:sz w:val="24"/>
          <w:szCs w:val="24"/>
        </w:rPr>
        <w:t>. Наказ МОЗ України від 02.03.2011 № 127 «Про затвердження примірних табелів оснащення медичною технікою та виробами медичного призначення центральної районної (районної) та центральної міської (міської) лікарень»</w:t>
      </w:r>
    </w:p>
    <w:p w:rsidR="00523809" w:rsidRDefault="00651BF9">
      <w:pPr>
        <w:shd w:val="clear" w:color="auto" w:fill="FFFFFF"/>
        <w:tabs>
          <w:tab w:val="left" w:pos="365"/>
        </w:tabs>
        <w:spacing w:before="14"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7B6FCD">
        <w:rPr>
          <w:rFonts w:ascii="Times New Roman" w:eastAsia="Times New Roman" w:hAnsi="Times New Roman" w:cs="Times New Roman"/>
          <w:sz w:val="24"/>
          <w:szCs w:val="24"/>
        </w:rPr>
        <w:t xml:space="preserve">. Наказ МОЗ України від 31.10.2011 № 734 «Про затвердження табелів оснащення медичною технікою та виробами медичного призначення структурних підрозділів лікарні планового лікування» </w:t>
      </w:r>
    </w:p>
    <w:p w:rsidR="00523809" w:rsidRDefault="00651BF9">
      <w:pPr>
        <w:shd w:val="clear" w:color="auto" w:fill="FFFFFF"/>
        <w:tabs>
          <w:tab w:val="left" w:pos="365"/>
        </w:tabs>
        <w:spacing w:before="14"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B6FCD">
        <w:rPr>
          <w:rFonts w:ascii="Times New Roman" w:eastAsia="Times New Roman" w:hAnsi="Times New Roman" w:cs="Times New Roman"/>
          <w:sz w:val="24"/>
          <w:szCs w:val="24"/>
        </w:rPr>
        <w:t xml:space="preserve">. Наказ МОЗ України від 31.10.2011 № 735 «Про затвердження табелів оснащення медичною технікою та виробами медичного призначення структурних підрозділів лікарні інтенсивного лікування» </w:t>
      </w:r>
    </w:p>
    <w:p w:rsidR="00523809" w:rsidRDefault="00651BF9">
      <w:pPr>
        <w:shd w:val="clear" w:color="auto" w:fill="FFFFFF"/>
        <w:tabs>
          <w:tab w:val="left" w:pos="365"/>
        </w:tabs>
        <w:spacing w:before="14"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B6FCD">
        <w:rPr>
          <w:rFonts w:ascii="Times New Roman" w:eastAsia="Times New Roman" w:hAnsi="Times New Roman" w:cs="Times New Roman"/>
          <w:sz w:val="24"/>
          <w:szCs w:val="24"/>
        </w:rPr>
        <w:t xml:space="preserve">. Наказ МОЗ України від 31.10.2011 № 739 «Про затвердження табелів оснащення медичною технікою та виробами медичного призначення структурних підрозділів консультативно-діагностичного центру» </w:t>
      </w:r>
    </w:p>
    <w:p w:rsidR="00523809" w:rsidRDefault="00651BF9">
      <w:pPr>
        <w:shd w:val="clear" w:color="auto" w:fill="FFFFFF"/>
        <w:tabs>
          <w:tab w:val="left" w:pos="365"/>
        </w:tabs>
        <w:spacing w:before="14"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B6FCD">
        <w:rPr>
          <w:rFonts w:ascii="Times New Roman" w:eastAsia="Times New Roman" w:hAnsi="Times New Roman" w:cs="Times New Roman"/>
          <w:sz w:val="24"/>
          <w:szCs w:val="24"/>
        </w:rPr>
        <w:t xml:space="preserve">. Наказ МОЗ України від 19.02.2009 № 102/18 «Про затвердження методичних рекомендацій "Уніфікована методика з розробки клінічних настанов, медичних стандартів, уніфікованих клінічних протоколів медичної допомоги, локальних протоколів медичної допомоги (клінічних маршрутів пацієнтів) на засадах доказової медицини (частина перша)» </w:t>
      </w:r>
    </w:p>
    <w:p w:rsidR="00523809" w:rsidRDefault="00651BF9">
      <w:pPr>
        <w:shd w:val="clear" w:color="auto" w:fill="FFFFFF"/>
        <w:tabs>
          <w:tab w:val="left" w:pos="365"/>
        </w:tabs>
        <w:spacing w:before="14"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7B6FCD">
        <w:rPr>
          <w:rFonts w:ascii="Times New Roman" w:eastAsia="Times New Roman" w:hAnsi="Times New Roman" w:cs="Times New Roman"/>
          <w:sz w:val="24"/>
          <w:szCs w:val="24"/>
        </w:rPr>
        <w:t xml:space="preserve">.Наказ МОЗ України від 03.11.2009 № 795/75 «Про затвердження методичних рекомендацій «Уніфікована методика з розробки клінічних настанов, медичних стандартів, уніфікованих клінічних протоколів медичної допомоги, локальних протоколів медичної допомоги (клінічних маршрутів пацієнтів) на засадах доказової медицини (частина друга)» </w:t>
      </w:r>
    </w:p>
    <w:p w:rsidR="00523809" w:rsidRDefault="00523809">
      <w:pPr>
        <w:shd w:val="clear" w:color="auto" w:fill="FFFFFF"/>
        <w:tabs>
          <w:tab w:val="left" w:pos="365"/>
        </w:tabs>
        <w:spacing w:before="14" w:after="0" w:line="22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809" w:rsidRDefault="007B6FCD">
      <w:pPr>
        <w:shd w:val="clear" w:color="auto" w:fill="FFFFFF"/>
        <w:tabs>
          <w:tab w:val="left" w:pos="365"/>
        </w:tabs>
        <w:spacing w:before="14" w:after="0" w:line="22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10. Інформаційні ресурси</w:t>
      </w:r>
    </w:p>
    <w:p w:rsidR="00523809" w:rsidRDefault="007B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1.Сайт кафедри: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http://intmed1.dsmu.edu.ua</w:t>
        </w:r>
      </w:hyperlink>
    </w:p>
    <w:p w:rsidR="00523809" w:rsidRDefault="007B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Реєстр медико-технологічних документів  Режим доступу:  http://mtd.dec.gov.ua/index.php/uk/ </w:t>
      </w:r>
    </w:p>
    <w:p w:rsidR="00523809" w:rsidRDefault="007B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Джерела клінічних настанов. Універсальні</w:t>
      </w:r>
    </w:p>
    <w:p w:rsidR="00523809" w:rsidRDefault="007B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Режим доступу:  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http://www.uptodate.com</w:t>
        </w:r>
      </w:hyperlink>
    </w:p>
    <w:p w:rsidR="00523809" w:rsidRDefault="007B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BMJ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Режим доступу:  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http://clinicalevidence.bmj.com</w:t>
        </w:r>
      </w:hyperlink>
    </w:p>
    <w:p w:rsidR="00523809" w:rsidRDefault="007B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Medscape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WebMD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Режим доступу:  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http://www.medscape.com</w:t>
        </w:r>
      </w:hyperlink>
    </w:p>
    <w:p w:rsidR="00523809" w:rsidRDefault="007B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Clearinghouse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Режим доступу:  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https://www.guideline.gov/</w:t>
        </w:r>
      </w:hyperlink>
    </w:p>
    <w:p w:rsidR="00523809" w:rsidRDefault="007B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(CDC) Режим доступу:  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https://www.cdc.gov/</w:t>
        </w:r>
      </w:hyperlink>
    </w:p>
    <w:p w:rsidR="00523809" w:rsidRDefault="007B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Cochrane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Collaboration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Cochrane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Library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Режим доступу:  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http://www.cochrane.org/</w:t>
        </w:r>
      </w:hyperlink>
    </w:p>
    <w:p w:rsidR="00523809" w:rsidRDefault="007B6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Summaries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(CKS) Режим доступу:  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http://prodigy.clarity.co.uk/</w:t>
        </w:r>
      </w:hyperlink>
    </w:p>
    <w:p w:rsidR="00523809" w:rsidRDefault="007B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Посібник Внутрішні хвороби Режим доступу https://empendium.com/ua</w:t>
      </w:r>
    </w:p>
    <w:sectPr w:rsidR="005238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413A"/>
    <w:multiLevelType w:val="multilevel"/>
    <w:tmpl w:val="3BC2E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186E"/>
    <w:multiLevelType w:val="multilevel"/>
    <w:tmpl w:val="CC789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F7E3CF3"/>
    <w:multiLevelType w:val="multilevel"/>
    <w:tmpl w:val="1382C4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B036850"/>
    <w:multiLevelType w:val="multilevel"/>
    <w:tmpl w:val="4190B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09"/>
    <w:rsid w:val="00291EE5"/>
    <w:rsid w:val="00513138"/>
    <w:rsid w:val="00523809"/>
    <w:rsid w:val="00651BF9"/>
    <w:rsid w:val="007B6FCD"/>
    <w:rsid w:val="00881270"/>
    <w:rsid w:val="00954B28"/>
    <w:rsid w:val="00C60DB3"/>
    <w:rsid w:val="00CE0875"/>
    <w:rsid w:val="00E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5592C-D8D6-45C8-8543-4181F081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51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clinicalevidence.bmj.com%2F&amp;h=ATNVT39YPeu6wexrrZn38BVi5MxU2YeN-9V92M_H8F2T9Ylwkd2sM_Yu96TO9oUD5QgLaJ3B_VnyKbNRN83GPLQou1sjDXHzcSleVi0FAEbDIHxYiTtPisGXKGN-XEhNADCjDGYXpJiy_K7z3ea33htTypXgTNo&amp;enc=AZN2fqMRe9SuRbeDv4rxTqOsGblS5QrkT7gvO3jPfHIRr-VVP2DEaZJ2-hL5L4Km4bb09r_VM05-1R248CbKg9X89AVeC49M4Xay2qFlGfm-X-m2OXbwB4k9GV1lUKelX4MfJ8gAmBDfgklhLle7xxPljX0JZpsORvscFHEekX4qGg0OIfYj87WDFGxzBRX9681rNCdvtpSgSPF2ZhSjbMmj&amp;s=1" TargetMode="External"/><Relationship Id="rId13" Type="http://schemas.openxmlformats.org/officeDocument/2006/relationships/hyperlink" Target="https://l.facebook.com/l.php?u=http%3A%2F%2Fprodigy.clarity.co.uk%2F&amp;h=ATNNeQQO07MBvVghawhu0QIS6a64r_5bwfOrirEpLZPtQDXqPKabkaoEp3nYI89GH9WK_yUZA5XoGyQoORAjS64TFkC7XvF1oZk2_dLmNc9-aLtLDx3gCzaFFRcTphwtqtqwzRc4HoW41GKdopdWcdP2K0Ugq6c&amp;enc=AZMhF7Pffv_YNPhIiGyyh2FdNM-Y0apbkIZytBrcakq5NyKOhMjue1D4uzDxkvZLoICbYmFXTWKDylZVouuayAnkoVbjlJetmyIeEU9dACwXTGdQ1Eq33KnYeGeWesEE8_unO-GDefH_1QQiDxzvOyKmItg2NSEs0mwO-z7gQ3VZsZSAg95qM-Cl2KAsliJeuZ0siNSB45J2DA6edoTGRF72&amp;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uptodate.com%2F&amp;h=ATMJl_oRmITUtm0RN_VHEF7DKR-VCm3wKLEXNmFV6D1meWot0QXv_ezpvmU4q750WIpAKO-MbcRYgo85DVn_J9xpjs6y8vopOzYMfWGcbKIwTTUOeJ0-CaYvQ83R1eNLg9dFVmFBCIUxdZiHDRtawn5kiCuLAKE&amp;enc=AZPnxLJQtnCQBX4Lcz_kMLr8ZymYHX_fz_h6KhoZJDYXQCQXpDI2d4ynHA2H2mtMksi6l23Ug-GNR5hYlVqEAy0p2mS5-oCqFmQ6bhGbqhwQV_4bRN3zlXQG7QB9mVqZt8RejngoX4qA5AUdbl0bSNVNZxrOyzNwn8dCHCOV33YiQhAEnbFMGpYxLU5qE5R7xaua7eBZd9v271CqY2hsVaEL&amp;s=1" TargetMode="External"/><Relationship Id="rId12" Type="http://schemas.openxmlformats.org/officeDocument/2006/relationships/hyperlink" Target="https://l.facebook.com/l.php?u=http%3A%2F%2Fwww.cochrane.org%2F&amp;h=ATPMOxd6fqk8didj3Vte87nLx0qYlBRNVMMi_62qIJfru9LXq4AzJyRUJUVOKaO7-hurQL2H9plMC2klOGHEDCu-52sT5uZIAAVDrkGw04Mhr0xDHPF3IjLgMaA8PpJOljJ67sx_T2RbPPEFdWKOxCc_kGxMWm0&amp;enc=AZNT666RuB5mKeyhZnZv1dsQ_Yg0lKeiiBJhIw1IcTXFQbu3uCI-yLXzGxArZtjmCUDYjD5eMex6MkfH83d3SZuhKu6EpbYD0qbQ2YWQsySm-BKoaYFY8caZsyISANL1opl0_d5TzVZMNBZsA1lmqtLpf4e9iCSaQq40j9yG4iL_5lzK_whnQqbX8mhYp09urTKhrzQ7YeX_4lST72lfD33J&amp;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med1.dsmu.edu.ua" TargetMode="External"/><Relationship Id="rId11" Type="http://schemas.openxmlformats.org/officeDocument/2006/relationships/hyperlink" Target="https://l.facebook.com/l.php?u=https%3A%2F%2Fwww.cdc.gov%2F&amp;h=ATMpDE6UBnQbzc65Z7YtnkMSKAXL5chw5k7mtIZHrN4H1bXLQydFIE_TFJcZYxLTFzCQfBac_58HT1nXeKdkjWKeXBqOIksA9lwlkMaGqcnbuLysSW0YBQZs2NrkXcB6qlTO7IZ0IswGJ6p59nJAoios7doUHm8&amp;enc=AZPc5S3TeNUupIEAOt5lG-bR7smy0c2bESwz044gZtTNimn03ybFXLaQiEqd3ajOaqqmkH0VVUI_f1ehGzJGvYCs9dDDboBV6PLUjFWEFWS2LBStNBKkMmyahlNohAM78wG3XUjRPY0hXLKsP8rb4RC6S7K6Y7JUD4nY3IgKslsoiJ6p1SR7qzBY8WboUkb0b7mcKqxXnOBIhp-9MGbFJwPQ&amp;s=1" TargetMode="External"/><Relationship Id="rId5" Type="http://schemas.openxmlformats.org/officeDocument/2006/relationships/hyperlink" Target="https://doi.org/10.15829/1728-8800-2018-5-99-1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.facebook.com/l.php?u=https%3A%2F%2Fwww.guideline.gov%2F&amp;h=ATMkF51rZgIycsLT7H0jT18-Sk0P538iKdvM5mToA20MKmJk8yw1xbKWtPSTFa5UR8UpN4j63Q0FJ96xvTW_b-xohDAtxBp9jY-DQzkr4ZZN6_vplh8A2kSnN6T5ENhZhTdjqKDVrMDi8pYAvMIdi0jEKJX2AJA&amp;enc=AZNg6DDmEfks4G_lqlTmLv6OggW2EBTQAjzNbisFpUJhhc3R8oFbbfONim50sdYTris0JmId_eM7EALftRBpynUiuB1kTyMy4M681DKts6czW3SCEVwRfv5sE0lKHK8JusSgc7m04JC7xltT4lyb6_ZP2IilxCNLfX0rbPXzjqF7IoN0jq9NlninemHHc8m3w3Ihp6JsW4BLiEYMu6hjBMWi&amp;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www.medscape.com%2F&amp;h=ATNEIZTA2tDBdjYrTeLxO_hja5ZBoiOFlUH1MuzkASgt5FVHTRTnE4MAHfhGmgRvrNM9wAgO4iYV9Ja5u139I73rxCLM1lsmd_8HRVueeuYHaH_K09vluT5-RDTmUN0cfybfmS3PuGT_awB3swVI-4DMbtUkD-o&amp;enc=AZNTVL8VlQ-OLXZauphhXCv9zNk9m36m-zLtogNW7d9Ur0q4NNmgHD4WtaLwiueentIWX0qqKu0PL9zzzgzEzPsntjISGgLULx-EC4FF9GlnpWxwoNu0qILujeo-W8gdYhYsPsOX9QfSvsdfgEEWy1OCKgL5Ixz7gX7IPanR8bB2dG4oOHxJHqFMePeuKOTNjR9JUP31d15Fb5xXmsskYCaZ&amp;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2022-02-16T09:34:00Z</dcterms:created>
  <dcterms:modified xsi:type="dcterms:W3CDTF">2022-02-16T09:34:00Z</dcterms:modified>
</cp:coreProperties>
</file>